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CE5BED">
      <w:pPr>
        <w:pStyle w:val="2"/>
        <w:keepNext/>
        <w:keepLines/>
        <w:pageBreakBefore w:val="0"/>
        <w:widowControl w:val="0"/>
        <w:kinsoku/>
        <w:wordWrap/>
        <w:overflowPunct/>
        <w:topLinePunct w:val="0"/>
        <w:autoSpaceDE/>
        <w:autoSpaceDN/>
        <w:bidi w:val="0"/>
        <w:adjustRightInd/>
        <w:snapToGrid/>
        <w:spacing w:line="560" w:lineRule="exact"/>
        <w:jc w:val="center"/>
        <w:textAlignment w:val="auto"/>
        <w:rPr>
          <w:rFonts w:hint="eastAsia"/>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乐山市</w:t>
      </w:r>
      <w:r>
        <w:rPr>
          <w:rFonts w:hint="eastAsia"/>
          <w:b/>
          <w:bCs w:val="0"/>
          <w:color w:val="000000" w:themeColor="text1"/>
          <w:lang w:val="en-US" w:eastAsia="zh-CN"/>
          <w14:textFill>
            <w14:solidFill>
              <w14:schemeClr w14:val="tx1"/>
            </w14:solidFill>
          </w14:textFill>
        </w:rPr>
        <w:t>心身医院</w:t>
      </w:r>
      <w:r>
        <w:rPr>
          <w:rFonts w:hint="eastAsia"/>
          <w:b/>
          <w:bCs w:val="0"/>
          <w:color w:val="000000" w:themeColor="text1"/>
          <w14:textFill>
            <w14:solidFill>
              <w14:schemeClr w14:val="tx1"/>
            </w14:solidFill>
          </w14:textFill>
        </w:rPr>
        <w:t>精神障碍社区康复</w:t>
      </w:r>
      <w:r>
        <w:rPr>
          <w:rFonts w:hint="eastAsia"/>
          <w:b/>
          <w:bCs w:val="0"/>
          <w:color w:val="000000" w:themeColor="text1"/>
          <w:lang w:val="en-US" w:eastAsia="zh-CN"/>
          <w14:textFill>
            <w14:solidFill>
              <w14:schemeClr w14:val="tx1"/>
            </w14:solidFill>
          </w14:textFill>
        </w:rPr>
        <w:t>服务项目</w:t>
      </w:r>
      <w:r>
        <w:rPr>
          <w:rFonts w:hint="eastAsia"/>
          <w:b/>
          <w:bCs w:val="0"/>
          <w:color w:val="000000" w:themeColor="text1"/>
          <w14:textFill>
            <w14:solidFill>
              <w14:schemeClr w14:val="tx1"/>
            </w14:solidFill>
          </w14:textFill>
        </w:rPr>
        <w:t>2025</w:t>
      </w:r>
      <w:r>
        <w:rPr>
          <w:rFonts w:hint="eastAsia"/>
          <w:b/>
          <w:bCs w:val="0"/>
          <w:color w:val="000000" w:themeColor="text1"/>
          <w:lang w:val="en-US" w:eastAsia="zh-CN"/>
          <w14:textFill>
            <w14:solidFill>
              <w14:schemeClr w14:val="tx1"/>
            </w14:solidFill>
          </w14:textFill>
        </w:rPr>
        <w:t>年公示</w:t>
      </w:r>
    </w:p>
    <w:p w14:paraId="71DD9F9B">
      <w:pPr>
        <w:pStyle w:val="3"/>
        <w:pageBreakBefore w:val="0"/>
        <w:widowControl w:val="0"/>
        <w:kinsoku/>
        <w:wordWrap/>
        <w:overflowPunct/>
        <w:topLinePunct w:val="0"/>
        <w:autoSpaceDE/>
        <w:autoSpaceDN/>
        <w:bidi w:val="0"/>
        <w:adjustRightInd/>
        <w:snapToGrid/>
        <w:spacing w:before="0" w:beforeLines="0" w:after="0" w:afterLines="0" w:line="560" w:lineRule="exact"/>
        <w:ind w:firstLine="643" w:firstLineChars="200"/>
        <w:textAlignment w:val="auto"/>
        <w:rPr>
          <w:rFonts w:hint="eastAsia"/>
        </w:rPr>
      </w:pPr>
      <w:r>
        <w:rPr>
          <w:rFonts w:hint="eastAsia"/>
        </w:rPr>
        <w:t>一、项目概况</w:t>
      </w:r>
    </w:p>
    <w:p w14:paraId="770A3941">
      <w:pPr>
        <w:pStyle w:val="4"/>
        <w:pageBreakBefore w:val="0"/>
        <w:widowControl w:val="0"/>
        <w:kinsoku/>
        <w:wordWrap/>
        <w:overflowPunct/>
        <w:topLinePunct w:val="0"/>
        <w:autoSpaceDE/>
        <w:autoSpaceDN/>
        <w:bidi w:val="0"/>
        <w:adjustRightInd/>
        <w:snapToGrid/>
        <w:spacing w:before="0" w:beforeLines="0" w:after="0" w:afterLines="0" w:line="560" w:lineRule="exact"/>
        <w:ind w:firstLine="602" w:firstLineChars="200"/>
        <w:textAlignment w:val="auto"/>
        <w:rPr>
          <w:rFonts w:hint="eastAsia"/>
          <w:sz w:val="30"/>
          <w:szCs w:val="30"/>
          <w:lang w:val="en-US" w:eastAsia="zh-CN"/>
        </w:rPr>
      </w:pPr>
      <w:r>
        <w:rPr>
          <w:rFonts w:hint="eastAsia"/>
          <w:sz w:val="30"/>
          <w:szCs w:val="30"/>
          <w:lang w:val="en-US" w:eastAsia="zh-CN"/>
        </w:rPr>
        <w:t>（一）项目名称</w:t>
      </w:r>
    </w:p>
    <w:p w14:paraId="7F079A57">
      <w:pPr>
        <w:rPr>
          <w:rFonts w:hint="default" w:ascii="方正仿宋_GB2312" w:hAnsi="方正仿宋_GB2312" w:eastAsia="方正仿宋_GB2312" w:cs="方正仿宋_GB2312"/>
          <w:sz w:val="30"/>
          <w:szCs w:val="30"/>
          <w:lang w:val="en-US" w:eastAsia="zh-CN"/>
        </w:rPr>
      </w:pPr>
      <w:r>
        <w:rPr>
          <w:rFonts w:hint="eastAsia"/>
          <w:sz w:val="30"/>
          <w:szCs w:val="30"/>
          <w:lang w:val="en-US" w:eastAsia="zh-CN"/>
        </w:rPr>
        <w:t xml:space="preserve">  </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乐山市</w:t>
      </w:r>
      <w:r>
        <w:rPr>
          <w:rFonts w:hint="eastAsia" w:ascii="方正仿宋_GB2312" w:hAnsi="方正仿宋_GB2312" w:eastAsia="方正仿宋_GB2312" w:cs="方正仿宋_GB2312"/>
          <w:sz w:val="30"/>
          <w:szCs w:val="30"/>
          <w:lang w:val="en-US" w:eastAsia="zh-CN"/>
        </w:rPr>
        <w:t>心身医院</w:t>
      </w:r>
      <w:r>
        <w:rPr>
          <w:rFonts w:hint="eastAsia" w:ascii="方正仿宋_GB2312" w:hAnsi="方正仿宋_GB2312" w:eastAsia="方正仿宋_GB2312" w:cs="方正仿宋_GB2312"/>
          <w:sz w:val="30"/>
          <w:szCs w:val="30"/>
        </w:rPr>
        <w:t>精神障碍社区康复</w:t>
      </w:r>
      <w:r>
        <w:rPr>
          <w:rFonts w:hint="eastAsia" w:ascii="方正仿宋_GB2312" w:hAnsi="方正仿宋_GB2312" w:eastAsia="方正仿宋_GB2312" w:cs="方正仿宋_GB2312"/>
          <w:sz w:val="30"/>
          <w:szCs w:val="30"/>
          <w:lang w:val="en-US" w:eastAsia="zh-CN"/>
        </w:rPr>
        <w:t>服务项目</w:t>
      </w:r>
    </w:p>
    <w:p w14:paraId="5E8CF2FC">
      <w:pPr>
        <w:pStyle w:val="4"/>
        <w:pageBreakBefore w:val="0"/>
        <w:widowControl w:val="0"/>
        <w:kinsoku/>
        <w:wordWrap/>
        <w:overflowPunct/>
        <w:topLinePunct w:val="0"/>
        <w:autoSpaceDE/>
        <w:autoSpaceDN/>
        <w:bidi w:val="0"/>
        <w:adjustRightInd/>
        <w:snapToGrid/>
        <w:spacing w:before="0" w:beforeLines="0" w:after="0" w:afterLines="0" w:line="560" w:lineRule="exact"/>
        <w:ind w:firstLine="602" w:firstLineChars="200"/>
        <w:textAlignment w:val="auto"/>
        <w:rPr>
          <w:rFonts w:hint="eastAsia"/>
          <w:sz w:val="30"/>
          <w:szCs w:val="30"/>
        </w:rPr>
      </w:pPr>
      <w:r>
        <w:rPr>
          <w:rFonts w:hint="eastAsia"/>
          <w:sz w:val="30"/>
          <w:szCs w:val="30"/>
        </w:rPr>
        <w:t>（</w:t>
      </w:r>
      <w:r>
        <w:rPr>
          <w:rFonts w:hint="eastAsia"/>
          <w:sz w:val="30"/>
          <w:szCs w:val="30"/>
          <w:lang w:eastAsia="zh-CN"/>
        </w:rPr>
        <w:t>二</w:t>
      </w:r>
      <w:r>
        <w:rPr>
          <w:rFonts w:hint="eastAsia"/>
          <w:sz w:val="30"/>
          <w:szCs w:val="30"/>
        </w:rPr>
        <w:t>）政策与需求背景</w:t>
      </w:r>
    </w:p>
    <w:p w14:paraId="6A56E841">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本项目以民政部、财政部等四部门《关于加快精神障碍社区康复服务发展的意见》（民发〔2017〕167号）、四川省民政厅等四部门《关于加快精神障碍社区康复服务发展的实施意见》（川民发〔2018〕17号）及《四川省“精康融合行动”实施方案（2023-2025年）》（川民规〔2023〕4号）为政策依据，旨在巩固乐山市市中区精神障碍社区康复前期成效，解决服务供给不足、区域发展不平衡等问题，回应患者长期康复需求与家属照护需求，助力“健康中国2030”规划纲要中“人人享有康复服务”目标落地。</w:t>
      </w:r>
    </w:p>
    <w:p w14:paraId="3671A024">
      <w:pPr>
        <w:pStyle w:val="4"/>
        <w:pageBreakBefore w:val="0"/>
        <w:widowControl w:val="0"/>
        <w:kinsoku/>
        <w:wordWrap/>
        <w:overflowPunct/>
        <w:topLinePunct w:val="0"/>
        <w:autoSpaceDE/>
        <w:autoSpaceDN/>
        <w:bidi w:val="0"/>
        <w:adjustRightInd/>
        <w:snapToGrid/>
        <w:spacing w:before="0" w:beforeLines="0" w:after="0" w:afterLines="0" w:line="560" w:lineRule="exact"/>
        <w:ind w:firstLine="602" w:firstLineChars="200"/>
        <w:textAlignment w:val="auto"/>
        <w:rPr>
          <w:rFonts w:hint="eastAsia" w:eastAsiaTheme="minorEastAsia"/>
          <w:b/>
          <w:sz w:val="30"/>
          <w:szCs w:val="30"/>
          <w:lang w:eastAsia="zh-CN"/>
        </w:rPr>
      </w:pPr>
      <w:r>
        <w:rPr>
          <w:rFonts w:hint="eastAsia"/>
          <w:b/>
          <w:sz w:val="30"/>
          <w:szCs w:val="30"/>
        </w:rPr>
        <w:t>（</w:t>
      </w:r>
      <w:r>
        <w:rPr>
          <w:rFonts w:hint="eastAsia"/>
          <w:b/>
          <w:sz w:val="30"/>
          <w:szCs w:val="30"/>
          <w:lang w:eastAsia="zh-CN"/>
        </w:rPr>
        <w:t>三</w:t>
      </w:r>
      <w:r>
        <w:rPr>
          <w:rFonts w:hint="eastAsia"/>
          <w:b/>
          <w:sz w:val="30"/>
          <w:szCs w:val="30"/>
        </w:rPr>
        <w:t>）</w:t>
      </w:r>
      <w:r>
        <w:rPr>
          <w:rFonts w:hint="eastAsia"/>
          <w:b/>
          <w:sz w:val="30"/>
          <w:szCs w:val="30"/>
          <w:lang w:eastAsia="zh-CN"/>
        </w:rPr>
        <w:t>项目主要内容</w:t>
      </w:r>
    </w:p>
    <w:p w14:paraId="5501A2F3">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核心目标：全年完成720人次服务覆盖，深化患者康复能力（生活自理、社会适应、职业技能</w:t>
      </w:r>
      <w:r>
        <w:rPr>
          <w:rFonts w:hint="eastAsia" w:ascii="方正仿宋_GB2312" w:hAnsi="方正仿宋_GB2312" w:eastAsia="方正仿宋_GB2312" w:cs="方正仿宋_GB2312"/>
          <w:sz w:val="30"/>
          <w:szCs w:val="30"/>
          <w:lang w:val="en-US" w:eastAsia="zh-CN"/>
        </w:rPr>
        <w:t>等</w:t>
      </w:r>
      <w:r>
        <w:rPr>
          <w:rFonts w:hint="eastAsia" w:ascii="方正仿宋_GB2312" w:hAnsi="方正仿宋_GB2312" w:eastAsia="方正仿宋_GB2312" w:cs="方正仿宋_GB2312"/>
          <w:sz w:val="30"/>
          <w:szCs w:val="30"/>
        </w:rPr>
        <w:t>），强化家属照护支持，构建“患者康复+家属支持”双保障体系。</w:t>
      </w:r>
    </w:p>
    <w:p w14:paraId="4882DE4F">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核心任务：开展技能巩固与进阶训练、长期随访与转介服务、义务配套服务（院际会诊、脑功能检查等），同步完成服务对象信息规范化管理。</w:t>
      </w:r>
    </w:p>
    <w:p w14:paraId="6477DCAF">
      <w:pPr>
        <w:pStyle w:val="4"/>
        <w:pageBreakBefore w:val="0"/>
        <w:widowControl w:val="0"/>
        <w:kinsoku/>
        <w:wordWrap/>
        <w:overflowPunct/>
        <w:topLinePunct w:val="0"/>
        <w:autoSpaceDE/>
        <w:autoSpaceDN/>
        <w:bidi w:val="0"/>
        <w:adjustRightInd/>
        <w:snapToGrid/>
        <w:spacing w:before="0" w:beforeLines="0" w:after="0" w:afterLines="0" w:line="560" w:lineRule="exact"/>
        <w:ind w:firstLine="602" w:firstLineChars="200"/>
        <w:textAlignment w:val="auto"/>
        <w:rPr>
          <w:rFonts w:hint="eastAsia"/>
          <w:b/>
          <w:sz w:val="30"/>
          <w:szCs w:val="30"/>
        </w:rPr>
      </w:pPr>
      <w:r>
        <w:rPr>
          <w:rFonts w:hint="eastAsia"/>
          <w:b/>
          <w:sz w:val="30"/>
          <w:szCs w:val="30"/>
        </w:rPr>
        <w:t>（</w:t>
      </w:r>
      <w:r>
        <w:rPr>
          <w:rFonts w:hint="eastAsia"/>
          <w:b/>
          <w:sz w:val="30"/>
          <w:szCs w:val="30"/>
          <w:lang w:eastAsia="zh-CN"/>
        </w:rPr>
        <w:t>四</w:t>
      </w:r>
      <w:r>
        <w:rPr>
          <w:rFonts w:hint="eastAsia"/>
          <w:b/>
          <w:sz w:val="30"/>
          <w:szCs w:val="30"/>
        </w:rPr>
        <w:t>）项目周期与主题</w:t>
      </w:r>
    </w:p>
    <w:p w14:paraId="1792033B">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项目周期：2025年1月1日-2025年12月31日</w:t>
      </w:r>
    </w:p>
    <w:p w14:paraId="3F3B833B">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活动主题：康复有伴嘉心同行</w:t>
      </w:r>
    </w:p>
    <w:p w14:paraId="33FFBBC1">
      <w:pPr>
        <w:pageBreakBefore w:val="0"/>
        <w:widowControl w:val="0"/>
        <w:numPr>
          <w:ilvl w:val="0"/>
          <w:numId w:val="1"/>
        </w:numPr>
        <w:kinsoku/>
        <w:wordWrap/>
        <w:overflowPunct/>
        <w:topLinePunct w:val="0"/>
        <w:autoSpaceDE/>
        <w:autoSpaceDN/>
        <w:bidi w:val="0"/>
        <w:adjustRightInd/>
        <w:snapToGrid/>
        <w:spacing w:line="560" w:lineRule="exact"/>
        <w:ind w:firstLine="602" w:firstLineChars="200"/>
        <w:textAlignment w:val="auto"/>
        <w:rPr>
          <w:rFonts w:hint="eastAsia" w:ascii="方正仿宋_GB2312" w:hAnsi="方正仿宋_GB2312" w:eastAsia="方正仿宋_GB2312" w:cs="方正仿宋_GB2312"/>
          <w:sz w:val="30"/>
          <w:szCs w:val="30"/>
          <w:lang w:val="en-US" w:eastAsia="zh-CN"/>
        </w:rPr>
      </w:pPr>
      <w:r>
        <w:rPr>
          <w:rFonts w:hint="eastAsia"/>
          <w:b/>
          <w:sz w:val="30"/>
          <w:szCs w:val="30"/>
          <w:lang w:eastAsia="zh-CN"/>
        </w:rPr>
        <w:t>资金额度：</w:t>
      </w:r>
      <w:r>
        <w:rPr>
          <w:rFonts w:hint="eastAsia" w:ascii="方正仿宋_GB2312" w:hAnsi="方正仿宋_GB2312" w:eastAsia="方正仿宋_GB2312" w:cs="方正仿宋_GB2312"/>
          <w:sz w:val="30"/>
          <w:szCs w:val="30"/>
          <w:lang w:val="en-US" w:eastAsia="zh-CN"/>
        </w:rPr>
        <w:t>4.5万元</w:t>
      </w:r>
    </w:p>
    <w:p w14:paraId="56B6EAD2">
      <w:pPr>
        <w:pageBreakBefore w:val="0"/>
        <w:widowControl w:val="0"/>
        <w:numPr>
          <w:ilvl w:val="0"/>
          <w:numId w:val="1"/>
        </w:numPr>
        <w:kinsoku/>
        <w:wordWrap/>
        <w:overflowPunct/>
        <w:topLinePunct w:val="0"/>
        <w:autoSpaceDE/>
        <w:autoSpaceDN/>
        <w:bidi w:val="0"/>
        <w:adjustRightInd/>
        <w:snapToGrid/>
        <w:spacing w:line="560" w:lineRule="exact"/>
        <w:ind w:firstLine="602" w:firstLineChars="200"/>
        <w:textAlignment w:val="auto"/>
        <w:rPr>
          <w:rFonts w:hint="default" w:ascii="方正仿宋_GB2312" w:hAnsi="方正仿宋_GB2312" w:eastAsia="方正仿宋_GB2312" w:cs="方正仿宋_GB2312"/>
          <w:sz w:val="30"/>
          <w:szCs w:val="30"/>
          <w:lang w:val="en-US" w:eastAsia="zh-CN"/>
        </w:rPr>
      </w:pPr>
      <w:r>
        <w:rPr>
          <w:rFonts w:hint="eastAsia"/>
          <w:b/>
          <w:sz w:val="30"/>
          <w:szCs w:val="30"/>
          <w:lang w:val="en-US" w:eastAsia="zh-CN"/>
        </w:rPr>
        <w:t>项目负责人及联系方式：</w:t>
      </w:r>
      <w:r>
        <w:rPr>
          <w:rFonts w:hint="eastAsia" w:ascii="方正仿宋_GB2312" w:hAnsi="方正仿宋_GB2312" w:eastAsia="方正仿宋_GB2312" w:cs="方正仿宋_GB2312"/>
          <w:sz w:val="30"/>
          <w:szCs w:val="30"/>
          <w:lang w:val="en-US" w:eastAsia="zh-CN"/>
        </w:rPr>
        <w:t>冯萍，18113983135</w:t>
      </w:r>
    </w:p>
    <w:p w14:paraId="7A9B204C">
      <w:pPr>
        <w:pageBreakBefore w:val="0"/>
        <w:widowControl w:val="0"/>
        <w:numPr>
          <w:ilvl w:val="0"/>
          <w:numId w:val="1"/>
        </w:numPr>
        <w:kinsoku/>
        <w:wordWrap/>
        <w:overflowPunct/>
        <w:topLinePunct w:val="0"/>
        <w:autoSpaceDE/>
        <w:autoSpaceDN/>
        <w:bidi w:val="0"/>
        <w:adjustRightInd/>
        <w:snapToGrid/>
        <w:spacing w:line="560" w:lineRule="exact"/>
        <w:ind w:firstLine="602" w:firstLineChars="200"/>
        <w:textAlignment w:val="auto"/>
        <w:rPr>
          <w:rFonts w:hint="default" w:ascii="方正仿宋_GB2312" w:hAnsi="方正仿宋_GB2312" w:eastAsia="方正仿宋_GB2312" w:cs="方正仿宋_GB2312"/>
          <w:sz w:val="30"/>
          <w:szCs w:val="30"/>
          <w:lang w:val="en-US" w:eastAsia="zh-CN"/>
        </w:rPr>
      </w:pPr>
      <w:r>
        <w:rPr>
          <w:rFonts w:hint="eastAsia"/>
          <w:b/>
          <w:sz w:val="30"/>
          <w:szCs w:val="30"/>
          <w:lang w:val="en-US" w:eastAsia="zh-CN"/>
        </w:rPr>
        <w:t>接受监督检查情况</w:t>
      </w:r>
      <w:r>
        <w:rPr>
          <w:rFonts w:hint="eastAsia" w:ascii="方正仿宋_GB2312" w:hAnsi="方正仿宋_GB2312" w:eastAsia="方正仿宋_GB2312" w:cs="方正仿宋_GB2312"/>
          <w:sz w:val="30"/>
          <w:szCs w:val="30"/>
          <w:lang w:val="en-US" w:eastAsia="zh-CN"/>
        </w:rPr>
        <w:t>：无</w:t>
      </w:r>
    </w:p>
    <w:p w14:paraId="5F8514C5">
      <w:pPr>
        <w:pageBreakBefore w:val="0"/>
        <w:widowControl w:val="0"/>
        <w:numPr>
          <w:ilvl w:val="0"/>
          <w:numId w:val="1"/>
        </w:numPr>
        <w:kinsoku/>
        <w:wordWrap/>
        <w:overflowPunct/>
        <w:topLinePunct w:val="0"/>
        <w:autoSpaceDE/>
        <w:autoSpaceDN/>
        <w:bidi w:val="0"/>
        <w:adjustRightInd/>
        <w:snapToGrid/>
        <w:spacing w:line="560" w:lineRule="exact"/>
        <w:ind w:firstLine="602" w:firstLineChars="200"/>
        <w:textAlignment w:val="auto"/>
        <w:rPr>
          <w:rFonts w:hint="default" w:ascii="方正仿宋_GB2312" w:hAnsi="方正仿宋_GB2312" w:eastAsia="方正仿宋_GB2312" w:cs="方正仿宋_GB2312"/>
          <w:sz w:val="30"/>
          <w:szCs w:val="30"/>
          <w:lang w:val="en-US" w:eastAsia="zh-CN"/>
        </w:rPr>
      </w:pPr>
      <w:bookmarkStart w:id="0" w:name="_GoBack"/>
      <w:r>
        <w:rPr>
          <w:rFonts w:hint="eastAsia" w:ascii="方正仿宋_GB2312" w:hAnsi="方正仿宋_GB2312" w:eastAsia="方正仿宋_GB2312" w:cs="方正仿宋_GB2312"/>
          <w:b/>
          <w:bCs/>
          <w:sz w:val="30"/>
          <w:szCs w:val="30"/>
          <w:lang w:val="en-US" w:eastAsia="zh-CN"/>
        </w:rPr>
        <w:t>资金管理办法：</w:t>
      </w:r>
      <w:r>
        <w:rPr>
          <w:rFonts w:hint="eastAsia" w:ascii="方正仿宋_GB2312" w:hAnsi="方正仿宋_GB2312" w:eastAsia="方正仿宋_GB2312" w:cs="方正仿宋_GB2312"/>
          <w:sz w:val="30"/>
          <w:szCs w:val="30"/>
          <w:lang w:val="en-US" w:eastAsia="zh-CN"/>
        </w:rPr>
        <w:t>坚持事前审批、多级报销审核、大额资金集体讨论，确保资金专款专用，支出票证齐全。</w:t>
      </w:r>
    </w:p>
    <w:bookmarkEnd w:id="0"/>
    <w:p w14:paraId="7B80160C">
      <w:pPr>
        <w:pageBreakBefore w:val="0"/>
        <w:widowControl w:val="0"/>
        <w:numPr>
          <w:numId w:val="0"/>
        </w:numPr>
        <w:kinsoku/>
        <w:wordWrap/>
        <w:overflowPunct/>
        <w:topLinePunct w:val="0"/>
        <w:autoSpaceDE/>
        <w:autoSpaceDN/>
        <w:bidi w:val="0"/>
        <w:adjustRightInd/>
        <w:snapToGrid/>
        <w:spacing w:line="560" w:lineRule="exact"/>
        <w:textAlignment w:val="auto"/>
        <w:rPr>
          <w:rFonts w:hint="default" w:ascii="方正仿宋_GB2312" w:hAnsi="方正仿宋_GB2312" w:eastAsia="方正仿宋_GB2312" w:cs="方正仿宋_GB2312"/>
          <w:sz w:val="30"/>
          <w:szCs w:val="30"/>
          <w:lang w:val="en-US" w:eastAsia="zh-CN"/>
        </w:rPr>
      </w:pPr>
    </w:p>
    <w:p w14:paraId="6EB705F3">
      <w:pPr>
        <w:pStyle w:val="3"/>
        <w:pageBreakBefore w:val="0"/>
        <w:widowControl w:val="0"/>
        <w:kinsoku/>
        <w:wordWrap/>
        <w:overflowPunct/>
        <w:topLinePunct w:val="0"/>
        <w:autoSpaceDE/>
        <w:autoSpaceDN/>
        <w:bidi w:val="0"/>
        <w:adjustRightInd/>
        <w:snapToGrid/>
        <w:spacing w:before="0" w:beforeLines="0" w:after="0" w:afterLines="0" w:line="560" w:lineRule="exact"/>
        <w:ind w:firstLine="643" w:firstLineChars="200"/>
        <w:textAlignment w:val="auto"/>
        <w:rPr>
          <w:rFonts w:hint="eastAsia" w:eastAsia="黑体"/>
          <w:lang w:eastAsia="zh-CN"/>
        </w:rPr>
      </w:pPr>
      <w:r>
        <w:rPr>
          <w:rFonts w:hint="eastAsia"/>
        </w:rPr>
        <w:t>二、项目</w:t>
      </w:r>
      <w:r>
        <w:rPr>
          <w:rFonts w:hint="eastAsia"/>
          <w:lang w:eastAsia="zh-CN"/>
        </w:rPr>
        <w:t>完成情况和实际效果</w:t>
      </w:r>
    </w:p>
    <w:p w14:paraId="28356555">
      <w:pPr>
        <w:pStyle w:val="4"/>
        <w:pageBreakBefore w:val="0"/>
        <w:widowControl w:val="0"/>
        <w:kinsoku/>
        <w:wordWrap/>
        <w:overflowPunct/>
        <w:topLinePunct w:val="0"/>
        <w:autoSpaceDE/>
        <w:autoSpaceDN/>
        <w:bidi w:val="0"/>
        <w:adjustRightInd/>
        <w:snapToGrid/>
        <w:spacing w:before="0" w:beforeLines="0" w:after="0" w:afterLines="0" w:line="560" w:lineRule="exact"/>
        <w:ind w:firstLine="602" w:firstLineChars="200"/>
        <w:textAlignment w:val="auto"/>
        <w:rPr>
          <w:rFonts w:hint="eastAsia"/>
          <w:b/>
          <w:sz w:val="30"/>
          <w:szCs w:val="30"/>
        </w:rPr>
      </w:pPr>
      <w:r>
        <w:rPr>
          <w:rFonts w:hint="eastAsia"/>
          <w:b/>
          <w:sz w:val="30"/>
          <w:szCs w:val="30"/>
        </w:rPr>
        <w:t>（一）服务团队稳定运行</w:t>
      </w:r>
    </w:p>
    <w:p w14:paraId="0CC0D6D5">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项目延续前期核心服务团队，以精神科医师、社会工作者为核心，心理治疗师、心理咨询师、康复师为骨干，专业配置与资质保持稳定：</w:t>
      </w:r>
    </w:p>
    <w:p w14:paraId="3B7D512D">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高级职称15人、中级职称52人；</w:t>
      </w:r>
    </w:p>
    <w:p w14:paraId="178A8179">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国家中级心理治疗师16名、初级心理治疗师4名；</w:t>
      </w:r>
    </w:p>
    <w:p w14:paraId="729E6281">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国家二级心理咨询师4名、三级心理咨询师20名；</w:t>
      </w:r>
    </w:p>
    <w:p w14:paraId="477CAEFC">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康复治疗专业人员5名（含副主任康复治疗师1名）；</w:t>
      </w:r>
    </w:p>
    <w:p w14:paraId="56FFBA96">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初级社工师3名、中级社工师6名。</w:t>
      </w:r>
    </w:p>
    <w:p w14:paraId="4646A99F">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核心成员全部留任，确保服务专业性与连续性，为各项康复服务落地提供技术支撑。</w:t>
      </w:r>
    </w:p>
    <w:p w14:paraId="418454E1">
      <w:pPr>
        <w:pStyle w:val="4"/>
        <w:pageBreakBefore w:val="0"/>
        <w:widowControl w:val="0"/>
        <w:kinsoku/>
        <w:wordWrap/>
        <w:overflowPunct/>
        <w:topLinePunct w:val="0"/>
        <w:autoSpaceDE/>
        <w:autoSpaceDN/>
        <w:bidi w:val="0"/>
        <w:adjustRightInd/>
        <w:snapToGrid/>
        <w:spacing w:before="0" w:beforeLines="0" w:after="0" w:afterLines="0" w:line="560" w:lineRule="exact"/>
        <w:ind w:firstLine="602" w:firstLineChars="200"/>
        <w:textAlignment w:val="auto"/>
        <w:rPr>
          <w:rFonts w:hint="eastAsia"/>
          <w:sz w:val="30"/>
          <w:szCs w:val="30"/>
        </w:rPr>
      </w:pPr>
      <w:r>
        <w:rPr>
          <w:rFonts w:hint="eastAsia"/>
          <w:sz w:val="30"/>
          <w:szCs w:val="30"/>
        </w:rPr>
        <w:t>（二）服务场所高效利用</w:t>
      </w:r>
    </w:p>
    <w:p w14:paraId="6DA4CA23">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总站及站点布局：项目依托乐山市心身医院精神障碍社区康复指导中心总站开展核心服务，覆盖海棠街道、通江街道等区域，其中石雁儿社区站点（属海棠街道）由乐山市心身医院管理，为海棠街道辖区患者提供就近康复服务，进一步延伸服务触角，提升区域服务可达性。</w:t>
      </w:r>
    </w:p>
    <w:p w14:paraId="1611961B">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海棠街道（含石雁儿社区站点）：总站及站点联动服务，建档人数43人，规范服务率</w:t>
      </w:r>
      <w:r>
        <w:rPr>
          <w:rFonts w:hint="eastAsia" w:ascii="方正仿宋_GB2312" w:hAnsi="方正仿宋_GB2312" w:eastAsia="方正仿宋_GB2312" w:cs="方正仿宋_GB2312"/>
          <w:sz w:val="30"/>
          <w:szCs w:val="30"/>
          <w:lang w:val="en-US" w:eastAsia="zh-CN"/>
        </w:rPr>
        <w:t>65.12</w:t>
      </w:r>
      <w:r>
        <w:rPr>
          <w:rFonts w:hint="eastAsia" w:ascii="方正仿宋_GB2312" w:hAnsi="方正仿宋_GB2312" w:eastAsia="方正仿宋_GB2312" w:cs="方正仿宋_GB2312"/>
          <w:sz w:val="30"/>
          <w:szCs w:val="30"/>
        </w:rPr>
        <w:t>%；</w:t>
      </w:r>
    </w:p>
    <w:p w14:paraId="68960B1A">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通江街道</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lang w:val="en-US" w:eastAsia="zh-CN"/>
        </w:rPr>
        <w:t>指导中心</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总站：建档人数58人，规范服务率</w:t>
      </w:r>
      <w:r>
        <w:rPr>
          <w:rFonts w:hint="eastAsia" w:ascii="方正仿宋_GB2312" w:hAnsi="方正仿宋_GB2312" w:eastAsia="方正仿宋_GB2312" w:cs="方正仿宋_GB2312"/>
          <w:sz w:val="30"/>
          <w:szCs w:val="30"/>
          <w:lang w:val="en-US" w:eastAsia="zh-CN"/>
        </w:rPr>
        <w:t>65.52</w:t>
      </w:r>
      <w:r>
        <w:rPr>
          <w:rFonts w:hint="eastAsia" w:ascii="方正仿宋_GB2312" w:hAnsi="方正仿宋_GB2312" w:eastAsia="方正仿宋_GB2312" w:cs="方正仿宋_GB2312"/>
          <w:sz w:val="30"/>
          <w:szCs w:val="30"/>
        </w:rPr>
        <w:t>%。</w:t>
      </w:r>
    </w:p>
    <w:p w14:paraId="14182439">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服务场景延伸：结合总站与石雁儿社区站点服务能力，在服务覆盖区域内灵活开展集中服务与移动微站点服务，保障患者参与便利性。</w:t>
      </w:r>
    </w:p>
    <w:p w14:paraId="5E833FF7">
      <w:pPr>
        <w:pStyle w:val="4"/>
        <w:pageBreakBefore w:val="0"/>
        <w:widowControl w:val="0"/>
        <w:kinsoku/>
        <w:wordWrap/>
        <w:overflowPunct/>
        <w:topLinePunct w:val="0"/>
        <w:autoSpaceDE/>
        <w:autoSpaceDN/>
        <w:bidi w:val="0"/>
        <w:adjustRightInd/>
        <w:snapToGrid/>
        <w:spacing w:before="0" w:beforeLines="0" w:after="0" w:afterLines="0" w:line="560" w:lineRule="exact"/>
        <w:ind w:firstLine="602" w:firstLineChars="200"/>
        <w:textAlignment w:val="auto"/>
        <w:rPr>
          <w:rFonts w:hint="eastAsia"/>
          <w:sz w:val="30"/>
          <w:szCs w:val="30"/>
        </w:rPr>
      </w:pPr>
      <w:r>
        <w:rPr>
          <w:rFonts w:hint="eastAsia"/>
          <w:sz w:val="30"/>
          <w:szCs w:val="30"/>
        </w:rPr>
        <w:t>（三）服务内容全面落地</w:t>
      </w:r>
    </w:p>
    <w:p w14:paraId="0567FBD0">
      <w:pPr>
        <w:pStyle w:val="5"/>
        <w:pageBreakBefore w:val="0"/>
        <w:widowControl w:val="0"/>
        <w:kinsoku/>
        <w:wordWrap/>
        <w:overflowPunct/>
        <w:topLinePunct w:val="0"/>
        <w:autoSpaceDE/>
        <w:autoSpaceDN/>
        <w:bidi w:val="0"/>
        <w:adjustRightInd/>
        <w:snapToGrid/>
        <w:spacing w:before="0" w:beforeLines="0" w:after="0" w:afterLines="0" w:line="560" w:lineRule="exact"/>
        <w:ind w:firstLine="602"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1.技能巩固与进阶训练</w:t>
      </w:r>
    </w:p>
    <w:p w14:paraId="2E31E968">
      <w:pPr>
        <w:pStyle w:val="5"/>
        <w:pageBreakBefore w:val="0"/>
        <w:widowControl w:val="0"/>
        <w:kinsoku/>
        <w:wordWrap/>
        <w:overflowPunct/>
        <w:topLinePunct w:val="0"/>
        <w:autoSpaceDE/>
        <w:autoSpaceDN/>
        <w:bidi w:val="0"/>
        <w:adjustRightInd/>
        <w:snapToGrid/>
        <w:spacing w:before="0" w:beforeLines="0" w:after="0" w:afterLines="0" w:line="560" w:lineRule="exact"/>
        <w:ind w:firstLine="600" w:firstLineChars="200"/>
        <w:textAlignment w:val="auto"/>
        <w:rPr>
          <w:rFonts w:hint="eastAsia" w:ascii="方正仿宋_GB2312" w:hAnsi="方正仿宋_GB2312" w:eastAsia="方正仿宋_GB2312" w:cs="方正仿宋_GB2312"/>
          <w:b w:val="0"/>
          <w:kern w:val="2"/>
          <w:sz w:val="30"/>
          <w:szCs w:val="30"/>
          <w:lang w:val="en-US" w:eastAsia="zh-CN" w:bidi="ar-SA"/>
        </w:rPr>
      </w:pPr>
      <w:r>
        <w:rPr>
          <w:rFonts w:hint="eastAsia" w:ascii="方正仿宋_GB2312" w:hAnsi="方正仿宋_GB2312" w:eastAsia="方正仿宋_GB2312" w:cs="方正仿宋_GB2312"/>
          <w:b w:val="0"/>
          <w:kern w:val="2"/>
          <w:sz w:val="30"/>
          <w:szCs w:val="30"/>
          <w:lang w:val="en-US" w:eastAsia="zh-CN" w:bidi="ar-SA"/>
        </w:rPr>
        <w:t>专题讲座类：开展《康复小课堂》《如何缓解社交恐惧指南》《拥抱内在的力量》等专题讲座3场次，提升患者康复知识、心理调适及社交技巧认知。</w:t>
      </w:r>
    </w:p>
    <w:p w14:paraId="57793C5D">
      <w:pPr>
        <w:pStyle w:val="5"/>
        <w:pageBreakBefore w:val="0"/>
        <w:widowControl w:val="0"/>
        <w:kinsoku/>
        <w:wordWrap/>
        <w:overflowPunct/>
        <w:topLinePunct w:val="0"/>
        <w:autoSpaceDE/>
        <w:autoSpaceDN/>
        <w:bidi w:val="0"/>
        <w:adjustRightInd/>
        <w:snapToGrid/>
        <w:spacing w:before="0" w:beforeLines="0" w:after="0" w:afterLines="0" w:line="560" w:lineRule="exact"/>
        <w:ind w:firstLine="600" w:firstLineChars="200"/>
        <w:textAlignment w:val="auto"/>
        <w:rPr>
          <w:rFonts w:hint="eastAsia" w:ascii="方正仿宋_GB2312" w:hAnsi="方正仿宋_GB2312" w:eastAsia="方正仿宋_GB2312" w:cs="方正仿宋_GB2312"/>
          <w:b w:val="0"/>
          <w:kern w:val="2"/>
          <w:sz w:val="30"/>
          <w:szCs w:val="30"/>
          <w:lang w:val="en-US" w:eastAsia="zh-CN" w:bidi="ar-SA"/>
        </w:rPr>
      </w:pPr>
      <w:r>
        <w:rPr>
          <w:rFonts w:hint="eastAsia" w:ascii="方正仿宋_GB2312" w:hAnsi="方正仿宋_GB2312" w:eastAsia="方正仿宋_GB2312" w:cs="方正仿宋_GB2312"/>
          <w:b w:val="0"/>
          <w:kern w:val="2"/>
          <w:sz w:val="30"/>
          <w:szCs w:val="30"/>
          <w:lang w:val="en-US" w:eastAsia="zh-CN" w:bidi="ar-SA"/>
        </w:rPr>
        <w:t>心理与认知康复类：通过支持性心理治疗（剪贴拼画、数字迷宫等20余场次）、行为治疗（蒙眼画五官等5场次）、认知治疗（图形连连看等8场次）、模拟训练（思维/社交技能等4场次），多维度提升患者心理韧性、认知能力与情绪管理水平。</w:t>
      </w:r>
    </w:p>
    <w:p w14:paraId="165441B4">
      <w:pPr>
        <w:pStyle w:val="5"/>
        <w:pageBreakBefore w:val="0"/>
        <w:widowControl w:val="0"/>
        <w:kinsoku/>
        <w:wordWrap/>
        <w:overflowPunct/>
        <w:topLinePunct w:val="0"/>
        <w:autoSpaceDE/>
        <w:autoSpaceDN/>
        <w:bidi w:val="0"/>
        <w:adjustRightInd/>
        <w:snapToGrid/>
        <w:spacing w:before="0" w:beforeLines="0" w:after="0" w:afterLines="0" w:line="560" w:lineRule="exact"/>
        <w:ind w:firstLine="600" w:firstLineChars="200"/>
        <w:textAlignment w:val="auto"/>
        <w:rPr>
          <w:rFonts w:hint="eastAsia" w:ascii="方正仿宋_GB2312" w:hAnsi="方正仿宋_GB2312" w:eastAsia="方正仿宋_GB2312" w:cs="方正仿宋_GB2312"/>
          <w:b w:val="0"/>
          <w:kern w:val="2"/>
          <w:sz w:val="30"/>
          <w:szCs w:val="30"/>
          <w:lang w:val="en-US" w:eastAsia="zh-CN" w:bidi="ar-SA"/>
        </w:rPr>
      </w:pPr>
      <w:r>
        <w:rPr>
          <w:rFonts w:hint="eastAsia" w:ascii="方正仿宋_GB2312" w:hAnsi="方正仿宋_GB2312" w:eastAsia="方正仿宋_GB2312" w:cs="方正仿宋_GB2312"/>
          <w:b w:val="0"/>
          <w:kern w:val="2"/>
          <w:sz w:val="30"/>
          <w:szCs w:val="30"/>
          <w:lang w:val="en-US" w:eastAsia="zh-CN" w:bidi="ar-SA"/>
        </w:rPr>
        <w:t>生活与职业技能类：开展七步洗手法、厨艺等个人/家庭生活技能训练5场次，冰糖葫芦制作、模拟超市等工作技能训练2场次，帮助患者掌握生活实用技能与职业适配基础能力。</w:t>
      </w:r>
    </w:p>
    <w:p w14:paraId="40B356D0">
      <w:pPr>
        <w:pStyle w:val="5"/>
        <w:pageBreakBefore w:val="0"/>
        <w:widowControl w:val="0"/>
        <w:kinsoku/>
        <w:wordWrap/>
        <w:overflowPunct/>
        <w:topLinePunct w:val="0"/>
        <w:autoSpaceDE/>
        <w:autoSpaceDN/>
        <w:bidi w:val="0"/>
        <w:adjustRightInd/>
        <w:snapToGrid/>
        <w:spacing w:before="0" w:beforeLines="0" w:after="0" w:afterLines="0" w:line="560" w:lineRule="exact"/>
        <w:ind w:firstLine="600" w:firstLineChars="200"/>
        <w:textAlignment w:val="auto"/>
        <w:rPr>
          <w:rFonts w:hint="eastAsia" w:ascii="方正仿宋_GB2312" w:hAnsi="方正仿宋_GB2312" w:eastAsia="方正仿宋_GB2312" w:cs="方正仿宋_GB2312"/>
          <w:b w:val="0"/>
          <w:kern w:val="2"/>
          <w:sz w:val="30"/>
          <w:szCs w:val="30"/>
          <w:lang w:val="en-US" w:eastAsia="zh-CN" w:bidi="ar-SA"/>
        </w:rPr>
      </w:pPr>
      <w:r>
        <w:rPr>
          <w:rFonts w:hint="eastAsia" w:ascii="方正仿宋_GB2312" w:hAnsi="方正仿宋_GB2312" w:eastAsia="方正仿宋_GB2312" w:cs="方正仿宋_GB2312"/>
          <w:b w:val="0"/>
          <w:kern w:val="2"/>
          <w:sz w:val="30"/>
          <w:szCs w:val="30"/>
          <w:lang w:val="en-US" w:eastAsia="zh-CN" w:bidi="ar-SA"/>
        </w:rPr>
        <w:t>文体与艺术疗愈类：开展手工制作（4场次）、互动游戏（10余场次）、艺术表达（5场次）等多元化活动，提升患者动手能力、专注力与艺术表达力。</w:t>
      </w:r>
    </w:p>
    <w:p w14:paraId="280203DE">
      <w:pPr>
        <w:pStyle w:val="5"/>
        <w:pageBreakBefore w:val="0"/>
        <w:widowControl w:val="0"/>
        <w:kinsoku/>
        <w:wordWrap/>
        <w:overflowPunct/>
        <w:topLinePunct w:val="0"/>
        <w:autoSpaceDE/>
        <w:autoSpaceDN/>
        <w:bidi w:val="0"/>
        <w:adjustRightInd/>
        <w:snapToGrid/>
        <w:spacing w:before="0" w:beforeLines="0" w:after="0" w:afterLines="0" w:line="560" w:lineRule="exact"/>
        <w:ind w:firstLine="600" w:firstLineChars="200"/>
        <w:textAlignment w:val="auto"/>
        <w:rPr>
          <w:rFonts w:hint="eastAsia" w:ascii="方正仿宋_GB2312" w:hAnsi="方正仿宋_GB2312" w:eastAsia="方正仿宋_GB2312" w:cs="方正仿宋_GB2312"/>
          <w:b w:val="0"/>
          <w:kern w:val="2"/>
          <w:sz w:val="30"/>
          <w:szCs w:val="30"/>
          <w:lang w:val="en-US" w:eastAsia="zh-CN" w:bidi="ar-SA"/>
        </w:rPr>
      </w:pPr>
      <w:r>
        <w:rPr>
          <w:rFonts w:hint="eastAsia" w:ascii="方正仿宋_GB2312" w:hAnsi="方正仿宋_GB2312" w:eastAsia="方正仿宋_GB2312" w:cs="方正仿宋_GB2312"/>
          <w:b w:val="0"/>
          <w:kern w:val="2"/>
          <w:sz w:val="30"/>
          <w:szCs w:val="30"/>
          <w:lang w:val="en-US" w:eastAsia="zh-CN" w:bidi="ar-SA"/>
        </w:rPr>
        <w:t>社交与思维训练类：开展社交技能、表达能力等训练5场次，助力患者改善社交互动模式、提升思维敏捷性</w:t>
      </w:r>
    </w:p>
    <w:p w14:paraId="58E73EBA">
      <w:pPr>
        <w:pStyle w:val="5"/>
        <w:pageBreakBefore w:val="0"/>
        <w:widowControl w:val="0"/>
        <w:kinsoku/>
        <w:wordWrap/>
        <w:overflowPunct/>
        <w:topLinePunct w:val="0"/>
        <w:autoSpaceDE/>
        <w:autoSpaceDN/>
        <w:bidi w:val="0"/>
        <w:adjustRightInd/>
        <w:snapToGrid/>
        <w:spacing w:before="0" w:beforeLines="0" w:after="0" w:afterLines="0" w:line="560" w:lineRule="exact"/>
        <w:ind w:firstLine="602"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lang w:val="en-US" w:eastAsia="zh-CN"/>
        </w:rPr>
        <w:t>2.建立常态化随访机制</w:t>
      </w:r>
    </w:p>
    <w:p w14:paraId="48F5557D">
      <w:pPr>
        <w:pageBreakBefore w:val="0"/>
        <w:widowControl w:val="0"/>
        <w:numPr>
          <w:ilvl w:val="0"/>
          <w:numId w:val="0"/>
        </w:numPr>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针对病情不稳定患者开展电话沟通、上门探访，跟踪病情动态，关注用药依从性。全年累计开展随访数百人次，</w:t>
      </w:r>
      <w:r>
        <w:rPr>
          <w:rFonts w:hint="eastAsia" w:ascii="方正仿宋_GB2312" w:hAnsi="方正仿宋_GB2312" w:eastAsia="方正仿宋_GB2312" w:cs="方正仿宋_GB2312"/>
          <w:sz w:val="30"/>
          <w:szCs w:val="30"/>
          <w:lang w:val="en-US" w:eastAsia="zh-CN"/>
        </w:rPr>
        <w:t>多次</w:t>
      </w:r>
      <w:r>
        <w:rPr>
          <w:rFonts w:hint="eastAsia" w:ascii="方正仿宋_GB2312" w:hAnsi="方正仿宋_GB2312" w:eastAsia="方正仿宋_GB2312" w:cs="方正仿宋_GB2312"/>
          <w:sz w:val="30"/>
          <w:szCs w:val="30"/>
        </w:rPr>
        <w:t>优化调整康复方案，开通绿色双向转介通道，成功转介多人，保障患者病情稳定。</w:t>
      </w:r>
    </w:p>
    <w:p w14:paraId="58DD9D77">
      <w:pPr>
        <w:pStyle w:val="5"/>
        <w:pageBreakBefore w:val="0"/>
        <w:widowControl w:val="0"/>
        <w:kinsoku/>
        <w:wordWrap/>
        <w:overflowPunct/>
        <w:topLinePunct w:val="0"/>
        <w:autoSpaceDE/>
        <w:autoSpaceDN/>
        <w:bidi w:val="0"/>
        <w:adjustRightInd/>
        <w:snapToGrid/>
        <w:spacing w:before="0" w:beforeLines="0" w:after="0" w:afterLines="0" w:line="560" w:lineRule="exact"/>
        <w:ind w:firstLine="602" w:firstLineChars="200"/>
        <w:textAlignment w:val="auto"/>
        <w:rPr>
          <w:rFonts w:hint="eastAsia" w:ascii="方正仿宋_GB2312" w:hAnsi="方正仿宋_GB2312" w:eastAsia="方正仿宋_GB2312" w:cs="方正仿宋_GB2312"/>
          <w:sz w:val="30"/>
          <w:szCs w:val="30"/>
          <w:lang w:val="en-US" w:eastAsia="zh-CN"/>
        </w:rPr>
      </w:pPr>
      <w:r>
        <w:rPr>
          <w:rFonts w:hint="eastAsia" w:ascii="方正仿宋_GB2312" w:hAnsi="方正仿宋_GB2312" w:eastAsia="方正仿宋_GB2312" w:cs="方正仿宋_GB2312"/>
          <w:sz w:val="30"/>
          <w:szCs w:val="30"/>
          <w:lang w:val="en-US" w:eastAsia="zh-CN"/>
        </w:rPr>
        <w:t>3.专业配套服务</w:t>
      </w:r>
    </w:p>
    <w:p w14:paraId="6E5D7238">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lang w:eastAsia="zh-CN"/>
        </w:rPr>
        <w:t>精神障碍社区康复团队</w:t>
      </w:r>
      <w:r>
        <w:rPr>
          <w:rFonts w:hint="eastAsia" w:ascii="方正仿宋_GB2312" w:hAnsi="方正仿宋_GB2312" w:eastAsia="方正仿宋_GB2312" w:cs="方正仿宋_GB2312"/>
          <w:sz w:val="30"/>
          <w:szCs w:val="30"/>
        </w:rPr>
        <w:t>提供</w:t>
      </w:r>
      <w:r>
        <w:rPr>
          <w:rFonts w:hint="eastAsia" w:ascii="方正仿宋_GB2312" w:hAnsi="方正仿宋_GB2312" w:eastAsia="方正仿宋_GB2312" w:cs="方正仿宋_GB2312"/>
          <w:sz w:val="30"/>
          <w:szCs w:val="30"/>
          <w:lang w:val="en-US" w:eastAsia="zh-CN"/>
        </w:rPr>
        <w:t>专业</w:t>
      </w:r>
      <w:r>
        <w:rPr>
          <w:rFonts w:hint="eastAsia" w:ascii="方正仿宋_GB2312" w:hAnsi="方正仿宋_GB2312" w:eastAsia="方正仿宋_GB2312" w:cs="方正仿宋_GB2312"/>
          <w:sz w:val="30"/>
          <w:szCs w:val="30"/>
        </w:rPr>
        <w:t>服务，开展院际会诊、脑功能检查、心理测评、康复评估等，为患者提供全方位康复支持。</w:t>
      </w:r>
    </w:p>
    <w:p w14:paraId="39B1272F">
      <w:pPr>
        <w:pStyle w:val="4"/>
        <w:pageBreakBefore w:val="0"/>
        <w:widowControl w:val="0"/>
        <w:kinsoku/>
        <w:wordWrap/>
        <w:overflowPunct/>
        <w:topLinePunct w:val="0"/>
        <w:autoSpaceDE/>
        <w:autoSpaceDN/>
        <w:bidi w:val="0"/>
        <w:adjustRightInd/>
        <w:snapToGrid/>
        <w:spacing w:before="0" w:beforeLines="0" w:after="0" w:afterLines="0" w:line="560" w:lineRule="exact"/>
        <w:ind w:firstLine="602" w:firstLineChars="200"/>
        <w:textAlignment w:val="auto"/>
        <w:rPr>
          <w:rFonts w:hint="eastAsia"/>
          <w:sz w:val="30"/>
          <w:szCs w:val="30"/>
        </w:rPr>
      </w:pPr>
      <w:r>
        <w:rPr>
          <w:rFonts w:hint="eastAsia"/>
          <w:sz w:val="30"/>
          <w:szCs w:val="30"/>
        </w:rPr>
        <w:t>（四）服务方式优化与隐私保护</w:t>
      </w:r>
    </w:p>
    <w:p w14:paraId="0E68B8EA">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服务方式创新：在总站与石雁儿社区站点服务基础上，结合“集中服务+上门服务”模式，新增“线上辅助服务”：建立患者家属交流群，推送康复知识；开通24小时心理援助热线，为患者及家属提供即时支持。隐私严格保护：严格遵守相关法律法规，对服务对象个人信息及病情资料实行加密管理，全年无信息泄露事件发生，保障服务对象权益。</w:t>
      </w:r>
    </w:p>
    <w:p w14:paraId="09BD3C4D">
      <w:pPr>
        <w:pStyle w:val="4"/>
        <w:pageBreakBefore w:val="0"/>
        <w:widowControl w:val="0"/>
        <w:kinsoku/>
        <w:wordWrap/>
        <w:overflowPunct/>
        <w:topLinePunct w:val="0"/>
        <w:autoSpaceDE/>
        <w:autoSpaceDN/>
        <w:bidi w:val="0"/>
        <w:adjustRightInd/>
        <w:snapToGrid/>
        <w:spacing w:before="0" w:beforeLines="0" w:after="0" w:afterLines="0" w:line="560" w:lineRule="exact"/>
        <w:ind w:firstLine="602" w:firstLineChars="200"/>
        <w:textAlignment w:val="auto"/>
        <w:rPr>
          <w:rFonts w:hint="eastAsia"/>
          <w:sz w:val="30"/>
          <w:szCs w:val="30"/>
        </w:rPr>
      </w:pPr>
      <w:r>
        <w:rPr>
          <w:rFonts w:hint="eastAsia"/>
          <w:sz w:val="30"/>
          <w:szCs w:val="30"/>
        </w:rPr>
        <w:t>（五）关键数据超额完成</w:t>
      </w:r>
    </w:p>
    <w:p w14:paraId="321506F0">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总站及站点服务数据：</w:t>
      </w:r>
    </w:p>
    <w:p w14:paraId="467D4B1C">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lang w:eastAsia="zh-CN"/>
        </w:rPr>
      </w:pPr>
      <w:r>
        <w:rPr>
          <w:rFonts w:hint="eastAsia" w:ascii="方正仿宋_GB2312" w:hAnsi="方正仿宋_GB2312" w:eastAsia="方正仿宋_GB2312" w:cs="方正仿宋_GB2312"/>
          <w:sz w:val="30"/>
          <w:szCs w:val="30"/>
          <w:lang w:val="en-US" w:eastAsia="zh-CN"/>
        </w:rPr>
        <w:t>乐山市心身医院精神障碍社区康复指导中心</w:t>
      </w:r>
      <w:r>
        <w:rPr>
          <w:rFonts w:hint="eastAsia" w:ascii="方正仿宋_GB2312" w:hAnsi="方正仿宋_GB2312" w:eastAsia="方正仿宋_GB2312" w:cs="方正仿宋_GB2312"/>
          <w:sz w:val="30"/>
          <w:szCs w:val="30"/>
        </w:rPr>
        <w:t>总站：</w:t>
      </w:r>
      <w:r>
        <w:rPr>
          <w:rFonts w:hint="eastAsia" w:ascii="方正仿宋_GB2312" w:hAnsi="方正仿宋_GB2312" w:eastAsia="方正仿宋_GB2312" w:cs="方正仿宋_GB2312"/>
          <w:sz w:val="30"/>
          <w:szCs w:val="30"/>
          <w:lang w:val="en-US" w:eastAsia="zh-CN"/>
        </w:rPr>
        <w:t>2025年完成</w:t>
      </w:r>
      <w:r>
        <w:rPr>
          <w:rFonts w:hint="eastAsia" w:ascii="方正仿宋_GB2312" w:hAnsi="方正仿宋_GB2312" w:eastAsia="方正仿宋_GB2312" w:cs="方正仿宋_GB2312"/>
          <w:sz w:val="30"/>
          <w:szCs w:val="30"/>
        </w:rPr>
        <w:t>康复训练人次</w:t>
      </w:r>
      <w:r>
        <w:rPr>
          <w:rFonts w:hint="eastAsia" w:ascii="方正仿宋_GB2312" w:hAnsi="方正仿宋_GB2312" w:eastAsia="方正仿宋_GB2312" w:cs="方正仿宋_GB2312"/>
          <w:sz w:val="30"/>
          <w:szCs w:val="30"/>
          <w:lang w:val="en-US" w:eastAsia="zh-CN"/>
        </w:rPr>
        <w:t>497</w:t>
      </w:r>
      <w:r>
        <w:rPr>
          <w:rFonts w:hint="eastAsia" w:ascii="方正仿宋_GB2312" w:hAnsi="方正仿宋_GB2312" w:eastAsia="方正仿宋_GB2312" w:cs="方正仿宋_GB2312"/>
          <w:sz w:val="30"/>
          <w:szCs w:val="30"/>
        </w:rPr>
        <w:t>次</w:t>
      </w:r>
      <w:r>
        <w:rPr>
          <w:rFonts w:hint="eastAsia" w:ascii="方正仿宋_GB2312" w:hAnsi="方正仿宋_GB2312" w:eastAsia="方正仿宋_GB2312" w:cs="方正仿宋_GB2312"/>
          <w:sz w:val="30"/>
          <w:szCs w:val="30"/>
          <w:lang w:eastAsia="zh-CN"/>
        </w:rPr>
        <w:t>。</w:t>
      </w:r>
    </w:p>
    <w:p w14:paraId="028A3BC2">
      <w:pPr>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drawing>
          <wp:anchor distT="0" distB="0" distL="114300" distR="114300" simplePos="0" relativeHeight="251664384" behindDoc="0" locked="0" layoutInCell="1" allowOverlap="1">
            <wp:simplePos x="0" y="0"/>
            <wp:positionH relativeFrom="column">
              <wp:posOffset>-279400</wp:posOffset>
            </wp:positionH>
            <wp:positionV relativeFrom="page">
              <wp:posOffset>6015990</wp:posOffset>
            </wp:positionV>
            <wp:extent cx="6024880" cy="3239770"/>
            <wp:effectExtent l="0" t="0" r="13970" b="17780"/>
            <wp:wrapSquare wrapText="bothSides"/>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4"/>
                    <a:stretch>
                      <a:fillRect/>
                    </a:stretch>
                  </pic:blipFill>
                  <pic:spPr>
                    <a:xfrm>
                      <a:off x="0" y="0"/>
                      <a:ext cx="6024880" cy="3239770"/>
                    </a:xfrm>
                    <a:prstGeom prst="rect">
                      <a:avLst/>
                    </a:prstGeom>
                    <a:noFill/>
                    <a:ln>
                      <a:noFill/>
                    </a:ln>
                  </pic:spPr>
                </pic:pic>
              </a:graphicData>
            </a:graphic>
          </wp:anchor>
        </w:drawing>
      </w:r>
    </w:p>
    <w:p w14:paraId="71F49908">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lang w:val="en-US" w:eastAsia="zh-CN"/>
        </w:rPr>
        <w:t>乐山市心身医院</w:t>
      </w:r>
      <w:r>
        <w:rPr>
          <w:rFonts w:hint="eastAsia" w:ascii="方正仿宋_GB2312" w:hAnsi="方正仿宋_GB2312" w:eastAsia="方正仿宋_GB2312" w:cs="方正仿宋_GB2312"/>
          <w:sz w:val="30"/>
          <w:szCs w:val="30"/>
        </w:rPr>
        <w:t>石雁儿社区站点：</w:t>
      </w:r>
      <w:r>
        <w:rPr>
          <w:rFonts w:hint="eastAsia" w:ascii="方正仿宋_GB2312" w:hAnsi="方正仿宋_GB2312" w:eastAsia="方正仿宋_GB2312" w:cs="方正仿宋_GB2312"/>
          <w:sz w:val="30"/>
          <w:szCs w:val="30"/>
          <w:lang w:val="en-US" w:eastAsia="zh-CN"/>
        </w:rPr>
        <w:t>2025年完成</w:t>
      </w:r>
      <w:r>
        <w:rPr>
          <w:rFonts w:hint="eastAsia" w:ascii="方正仿宋_GB2312" w:hAnsi="方正仿宋_GB2312" w:eastAsia="方正仿宋_GB2312" w:cs="方正仿宋_GB2312"/>
          <w:sz w:val="30"/>
          <w:szCs w:val="30"/>
        </w:rPr>
        <w:t>康复训练人次</w:t>
      </w:r>
      <w:r>
        <w:rPr>
          <w:rFonts w:hint="eastAsia" w:ascii="方正仿宋_GB2312" w:hAnsi="方正仿宋_GB2312" w:eastAsia="方正仿宋_GB2312" w:cs="方正仿宋_GB2312"/>
          <w:sz w:val="30"/>
          <w:szCs w:val="30"/>
          <w:lang w:val="en-US" w:eastAsia="zh-CN"/>
        </w:rPr>
        <w:t>367</w:t>
      </w:r>
      <w:r>
        <w:rPr>
          <w:rFonts w:hint="eastAsia" w:ascii="方正仿宋_GB2312" w:hAnsi="方正仿宋_GB2312" w:eastAsia="方正仿宋_GB2312" w:cs="方正仿宋_GB2312"/>
          <w:sz w:val="30"/>
          <w:szCs w:val="30"/>
        </w:rPr>
        <w:t>次</w:t>
      </w:r>
      <w:r>
        <w:rPr>
          <w:rFonts w:hint="eastAsia" w:ascii="方正仿宋_GB2312" w:hAnsi="方正仿宋_GB2312" w:eastAsia="方正仿宋_GB2312" w:cs="方正仿宋_GB2312"/>
          <w:sz w:val="30"/>
          <w:szCs w:val="30"/>
          <w:lang w:eastAsia="zh-CN"/>
        </w:rPr>
        <w:t>。</w:t>
      </w:r>
    </w:p>
    <w:p w14:paraId="35FF1E03">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lang w:eastAsia="zh-CN"/>
        </w:rPr>
        <w:drawing>
          <wp:anchor distT="0" distB="0" distL="114300" distR="114300" simplePos="0" relativeHeight="251663360" behindDoc="0" locked="0" layoutInCell="1" allowOverlap="1">
            <wp:simplePos x="0" y="0"/>
            <wp:positionH relativeFrom="column">
              <wp:posOffset>-247015</wp:posOffset>
            </wp:positionH>
            <wp:positionV relativeFrom="page">
              <wp:posOffset>1744980</wp:posOffset>
            </wp:positionV>
            <wp:extent cx="6076315" cy="3519170"/>
            <wp:effectExtent l="0" t="0" r="635" b="5080"/>
            <wp:wrapSquare wrapText="bothSides"/>
            <wp:docPr id="3" name="图片 3" descr="c9952f2d1f7f834fb4179cd6a2847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9952f2d1f7f834fb4179cd6a28476e"/>
                    <pic:cNvPicPr>
                      <a:picLocks noChangeAspect="1"/>
                    </pic:cNvPicPr>
                  </pic:nvPicPr>
                  <pic:blipFill>
                    <a:blip r:embed="rId5"/>
                    <a:stretch>
                      <a:fillRect/>
                    </a:stretch>
                  </pic:blipFill>
                  <pic:spPr>
                    <a:xfrm>
                      <a:off x="0" y="0"/>
                      <a:ext cx="6076315" cy="3519170"/>
                    </a:xfrm>
                    <a:prstGeom prst="rect">
                      <a:avLst/>
                    </a:prstGeom>
                  </pic:spPr>
                </pic:pic>
              </a:graphicData>
            </a:graphic>
          </wp:anchor>
        </w:drawing>
      </w:r>
      <w:r>
        <w:rPr>
          <w:rFonts w:hint="eastAsia" w:ascii="方正仿宋_GB2312" w:hAnsi="方正仿宋_GB2312" w:eastAsia="方正仿宋_GB2312" w:cs="方正仿宋_GB2312"/>
          <w:sz w:val="30"/>
          <w:szCs w:val="30"/>
        </w:rPr>
        <w:t>截至2025年</w:t>
      </w:r>
      <w:r>
        <w:rPr>
          <w:rFonts w:hint="eastAsia" w:ascii="方正仿宋_GB2312" w:hAnsi="方正仿宋_GB2312" w:eastAsia="方正仿宋_GB2312" w:cs="方正仿宋_GB2312"/>
          <w:sz w:val="30"/>
          <w:szCs w:val="30"/>
          <w:lang w:val="en-US" w:eastAsia="zh-CN"/>
        </w:rPr>
        <w:t>12</w:t>
      </w:r>
      <w:r>
        <w:rPr>
          <w:rFonts w:hint="eastAsia" w:ascii="方正仿宋_GB2312" w:hAnsi="方正仿宋_GB2312" w:eastAsia="方正仿宋_GB2312" w:cs="方正仿宋_GB2312"/>
          <w:sz w:val="30"/>
          <w:szCs w:val="30"/>
        </w:rPr>
        <w:t>月11日，两个站点合计康复训练总人次</w:t>
      </w:r>
      <w:r>
        <w:rPr>
          <w:rFonts w:hint="eastAsia" w:ascii="方正仿宋_GB2312" w:hAnsi="方正仿宋_GB2312" w:eastAsia="方正仿宋_GB2312" w:cs="方正仿宋_GB2312"/>
          <w:sz w:val="30"/>
          <w:szCs w:val="30"/>
          <w:lang w:val="en-US" w:eastAsia="zh-CN"/>
        </w:rPr>
        <w:t>864人</w:t>
      </w:r>
      <w:r>
        <w:rPr>
          <w:rFonts w:hint="eastAsia" w:ascii="方正仿宋_GB2312" w:hAnsi="方正仿宋_GB2312" w:eastAsia="方正仿宋_GB2312" w:cs="方正仿宋_GB2312"/>
          <w:sz w:val="30"/>
          <w:szCs w:val="30"/>
        </w:rPr>
        <w:t>次，有效支撑项目康复服务深度与广度。</w:t>
      </w:r>
    </w:p>
    <w:p w14:paraId="6F03F25C">
      <w:pPr>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方正仿宋_GB2312" w:hAnsi="方正仿宋_GB2312" w:eastAsia="方正仿宋_GB2312" w:cs="方正仿宋_GB2312"/>
          <w:sz w:val="30"/>
          <w:szCs w:val="30"/>
        </w:rPr>
      </w:pPr>
      <w:r>
        <w:drawing>
          <wp:anchor distT="0" distB="0" distL="114300" distR="114300" simplePos="0" relativeHeight="251662336" behindDoc="1" locked="0" layoutInCell="1" allowOverlap="1">
            <wp:simplePos x="0" y="0"/>
            <wp:positionH relativeFrom="column">
              <wp:posOffset>-245110</wp:posOffset>
            </wp:positionH>
            <wp:positionV relativeFrom="page">
              <wp:posOffset>6095365</wp:posOffset>
            </wp:positionV>
            <wp:extent cx="6151245" cy="3103880"/>
            <wp:effectExtent l="0" t="0" r="1905" b="1270"/>
            <wp:wrapTight wrapText="bothSides">
              <wp:wrapPolygon>
                <wp:start x="0" y="0"/>
                <wp:lineTo x="0" y="21476"/>
                <wp:lineTo x="21540" y="21476"/>
                <wp:lineTo x="21540" y="0"/>
                <wp:lineTo x="0" y="0"/>
              </wp:wrapPolygon>
            </wp:wrapTight>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6151245" cy="3103880"/>
                    </a:xfrm>
                    <a:prstGeom prst="rect">
                      <a:avLst/>
                    </a:prstGeom>
                    <a:noFill/>
                    <a:ln>
                      <a:noFill/>
                    </a:ln>
                  </pic:spPr>
                </pic:pic>
              </a:graphicData>
            </a:graphic>
          </wp:anchor>
        </w:drawing>
      </w:r>
    </w:p>
    <w:p w14:paraId="5CA3647D">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项目整体服务人次：全年实际完成服务</w:t>
      </w:r>
      <w:r>
        <w:rPr>
          <w:rFonts w:hint="eastAsia" w:ascii="方正仿宋_GB2312" w:hAnsi="方正仿宋_GB2312" w:eastAsia="方正仿宋_GB2312" w:cs="方正仿宋_GB2312"/>
          <w:sz w:val="30"/>
          <w:szCs w:val="30"/>
          <w:lang w:val="en-US" w:eastAsia="zh-CN"/>
        </w:rPr>
        <w:t>864</w:t>
      </w:r>
      <w:r>
        <w:rPr>
          <w:rFonts w:hint="eastAsia" w:ascii="方正仿宋_GB2312" w:hAnsi="方正仿宋_GB2312" w:eastAsia="方正仿宋_GB2312" w:cs="方正仿宋_GB2312"/>
          <w:sz w:val="30"/>
          <w:szCs w:val="30"/>
        </w:rPr>
        <w:t>人次，较计划720人次超额完成</w:t>
      </w:r>
      <w:r>
        <w:rPr>
          <w:rFonts w:hint="eastAsia" w:ascii="方正仿宋_GB2312" w:hAnsi="方正仿宋_GB2312" w:eastAsia="方正仿宋_GB2312" w:cs="方正仿宋_GB2312"/>
          <w:sz w:val="30"/>
          <w:szCs w:val="30"/>
          <w:lang w:val="en-US" w:eastAsia="zh-CN"/>
        </w:rPr>
        <w:t>144</w:t>
      </w:r>
      <w:r>
        <w:rPr>
          <w:rFonts w:hint="eastAsia" w:ascii="方正仿宋_GB2312" w:hAnsi="方正仿宋_GB2312" w:eastAsia="方正仿宋_GB2312" w:cs="方正仿宋_GB2312"/>
          <w:sz w:val="30"/>
          <w:szCs w:val="30"/>
        </w:rPr>
        <w:t>人次，超额率</w:t>
      </w:r>
      <w:r>
        <w:rPr>
          <w:rFonts w:hint="eastAsia" w:ascii="方正仿宋_GB2312" w:hAnsi="方正仿宋_GB2312" w:eastAsia="方正仿宋_GB2312" w:cs="方正仿宋_GB2312"/>
          <w:sz w:val="30"/>
          <w:szCs w:val="30"/>
          <w:lang w:val="en-US" w:eastAsia="zh-CN"/>
        </w:rPr>
        <w:t>20</w:t>
      </w:r>
      <w:r>
        <w:rPr>
          <w:rFonts w:hint="eastAsia" w:ascii="方正仿宋_GB2312" w:hAnsi="方正仿宋_GB2312" w:eastAsia="方正仿宋_GB2312" w:cs="方正仿宋_GB2312"/>
          <w:sz w:val="30"/>
          <w:szCs w:val="30"/>
        </w:rPr>
        <w:t>%。覆盖市中区海棠街道（含石雁儿社区）、通江街道等区域，实现服务范围稳步扩大。</w:t>
      </w:r>
    </w:p>
    <w:p w14:paraId="01BC5E9D">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精康系统录入：</w:t>
      </w:r>
      <w:r>
        <w:rPr>
          <w:rFonts w:hint="eastAsia" w:ascii="方正仿宋_GB2312" w:hAnsi="方正仿宋_GB2312" w:eastAsia="方正仿宋_GB2312" w:cs="方正仿宋_GB2312"/>
          <w:sz w:val="30"/>
          <w:szCs w:val="30"/>
          <w:lang w:val="en-US" w:eastAsia="zh-CN"/>
        </w:rPr>
        <w:t>101</w:t>
      </w:r>
      <w:r>
        <w:rPr>
          <w:rFonts w:hint="eastAsia" w:ascii="方正仿宋_GB2312" w:hAnsi="方正仿宋_GB2312" w:eastAsia="方正仿宋_GB2312" w:cs="方正仿宋_GB2312"/>
          <w:sz w:val="30"/>
          <w:szCs w:val="30"/>
        </w:rPr>
        <w:t>名服务对象的个人信息、病情资料、康复计划、评估结果已完成四川省精康系统录入，数据完整性达100%，为后续服务追溯、政策调整提供数据支撑。</w:t>
      </w:r>
    </w:p>
    <w:p w14:paraId="13F2AC38">
      <w:pPr>
        <w:pStyle w:val="3"/>
        <w:pageBreakBefore w:val="0"/>
        <w:widowControl w:val="0"/>
        <w:kinsoku/>
        <w:wordWrap/>
        <w:overflowPunct/>
        <w:topLinePunct w:val="0"/>
        <w:autoSpaceDE/>
        <w:autoSpaceDN/>
        <w:bidi w:val="0"/>
        <w:adjustRightInd/>
        <w:snapToGrid/>
        <w:spacing w:before="0" w:beforeLines="0" w:after="0" w:afterLines="0" w:line="560" w:lineRule="exact"/>
        <w:ind w:firstLine="643" w:firstLineChars="200"/>
        <w:textAlignment w:val="auto"/>
        <w:rPr>
          <w:rFonts w:hint="eastAsia"/>
          <w:lang w:val="en-US" w:eastAsia="zh-CN"/>
        </w:rPr>
      </w:pPr>
    </w:p>
    <w:p w14:paraId="1CA4A89A">
      <w:pPr>
        <w:pStyle w:val="3"/>
        <w:pageBreakBefore w:val="0"/>
        <w:widowControl w:val="0"/>
        <w:kinsoku/>
        <w:wordWrap/>
        <w:overflowPunct/>
        <w:topLinePunct w:val="0"/>
        <w:autoSpaceDE/>
        <w:autoSpaceDN/>
        <w:bidi w:val="0"/>
        <w:adjustRightInd/>
        <w:snapToGrid/>
        <w:spacing w:before="0" w:beforeLines="0" w:after="0" w:afterLines="0" w:line="560" w:lineRule="exact"/>
        <w:ind w:firstLine="643" w:firstLineChars="200"/>
        <w:textAlignment w:val="auto"/>
        <w:rPr>
          <w:rFonts w:hint="eastAsia"/>
          <w:lang w:val="en-US" w:eastAsia="zh-CN"/>
        </w:rPr>
      </w:pPr>
    </w:p>
    <w:p w14:paraId="1098F9AC">
      <w:pPr>
        <w:pStyle w:val="3"/>
        <w:pageBreakBefore w:val="0"/>
        <w:widowControl w:val="0"/>
        <w:kinsoku/>
        <w:wordWrap/>
        <w:overflowPunct/>
        <w:topLinePunct w:val="0"/>
        <w:autoSpaceDE/>
        <w:autoSpaceDN/>
        <w:bidi w:val="0"/>
        <w:adjustRightInd/>
        <w:snapToGrid/>
        <w:spacing w:before="0" w:beforeLines="0" w:after="0" w:afterLines="0" w:line="560" w:lineRule="exact"/>
        <w:textAlignment w:val="auto"/>
        <w:rPr>
          <w:rFonts w:hint="eastAsia"/>
          <w:lang w:val="en-US" w:eastAsia="zh-CN"/>
        </w:rPr>
      </w:pPr>
    </w:p>
    <w:p w14:paraId="37510DDC">
      <w:pPr>
        <w:rPr>
          <w:rFonts w:hint="eastAsia"/>
          <w:lang w:val="en-US" w:eastAsia="zh-CN"/>
        </w:rPr>
      </w:pPr>
    </w:p>
    <w:p w14:paraId="4CC88840">
      <w:pPr>
        <w:rPr>
          <w:rFonts w:hint="eastAsia"/>
          <w:lang w:val="en-US" w:eastAsia="zh-CN"/>
        </w:rPr>
      </w:pPr>
    </w:p>
    <w:p w14:paraId="484BD458">
      <w:pPr>
        <w:rPr>
          <w:rFonts w:hint="eastAsia"/>
          <w:lang w:val="en-US" w:eastAsia="zh-CN"/>
        </w:rPr>
      </w:pPr>
    </w:p>
    <w:p w14:paraId="47D7ECB1">
      <w:pPr>
        <w:rPr>
          <w:rFonts w:hint="eastAsia"/>
          <w:lang w:val="en-US" w:eastAsia="zh-CN"/>
        </w:rPr>
      </w:pPr>
    </w:p>
    <w:p w14:paraId="53949FE5">
      <w:pPr>
        <w:rPr>
          <w:rFonts w:hint="eastAsia"/>
          <w:lang w:val="en-US" w:eastAsia="zh-CN"/>
        </w:rPr>
      </w:pPr>
    </w:p>
    <w:p w14:paraId="5A8AAF30">
      <w:pPr>
        <w:rPr>
          <w:rFonts w:hint="eastAsia"/>
          <w:lang w:val="en-US" w:eastAsia="zh-CN"/>
        </w:rPr>
      </w:pPr>
    </w:p>
    <w:p w14:paraId="7C44D2F6">
      <w:pPr>
        <w:pStyle w:val="3"/>
        <w:pageBreakBefore w:val="0"/>
        <w:widowControl w:val="0"/>
        <w:kinsoku/>
        <w:wordWrap/>
        <w:overflowPunct/>
        <w:topLinePunct w:val="0"/>
        <w:autoSpaceDE/>
        <w:autoSpaceDN/>
        <w:bidi w:val="0"/>
        <w:adjustRightInd/>
        <w:snapToGrid/>
        <w:spacing w:before="0" w:beforeLines="0" w:after="0" w:afterLines="0" w:line="560" w:lineRule="exact"/>
        <w:textAlignment w:val="auto"/>
        <w:rPr>
          <w:rFonts w:hint="eastAsia"/>
          <w:lang w:val="en-US" w:eastAsia="zh-CN"/>
        </w:rPr>
      </w:pPr>
    </w:p>
    <w:p w14:paraId="0FA75BB6">
      <w:pPr>
        <w:pStyle w:val="3"/>
        <w:pageBreakBefore w:val="0"/>
        <w:widowControl w:val="0"/>
        <w:kinsoku/>
        <w:wordWrap/>
        <w:overflowPunct/>
        <w:topLinePunct w:val="0"/>
        <w:autoSpaceDE/>
        <w:autoSpaceDN/>
        <w:bidi w:val="0"/>
        <w:adjustRightInd/>
        <w:snapToGrid/>
        <w:spacing w:before="0" w:beforeLines="0" w:after="0" w:afterLines="0" w:line="560" w:lineRule="exact"/>
        <w:textAlignment w:val="auto"/>
        <w:rPr>
          <w:rFonts w:hint="eastAsia"/>
          <w:lang w:val="en-US" w:eastAsia="zh-CN"/>
        </w:rPr>
      </w:pPr>
    </w:p>
    <w:p w14:paraId="7B083A31">
      <w:pPr>
        <w:pStyle w:val="3"/>
        <w:pageBreakBefore w:val="0"/>
        <w:widowControl w:val="0"/>
        <w:kinsoku/>
        <w:wordWrap/>
        <w:overflowPunct/>
        <w:topLinePunct w:val="0"/>
        <w:autoSpaceDE/>
        <w:autoSpaceDN/>
        <w:bidi w:val="0"/>
        <w:adjustRightInd/>
        <w:snapToGrid/>
        <w:spacing w:before="0" w:beforeLines="0" w:after="0" w:afterLines="0" w:line="560" w:lineRule="exact"/>
        <w:textAlignment w:val="auto"/>
        <w:rPr>
          <w:rFonts w:hint="eastAsia"/>
          <w:lang w:val="en-US" w:eastAsia="zh-CN"/>
        </w:rPr>
      </w:pPr>
    </w:p>
    <w:p w14:paraId="4FB76544">
      <w:pPr>
        <w:rPr>
          <w:rFonts w:hint="eastAsia"/>
          <w:lang w:val="en-US" w:eastAsia="zh-CN"/>
        </w:rPr>
      </w:pPr>
    </w:p>
    <w:p w14:paraId="721A443F">
      <w:pPr>
        <w:rPr>
          <w:rFonts w:hint="eastAsia"/>
          <w:lang w:val="en-US" w:eastAsia="zh-CN"/>
        </w:rPr>
      </w:pPr>
    </w:p>
    <w:p w14:paraId="48F74D02">
      <w:pPr>
        <w:rPr>
          <w:rFonts w:hint="eastAsia"/>
          <w:lang w:val="en-US" w:eastAsia="zh-CN"/>
        </w:rPr>
      </w:pPr>
    </w:p>
    <w:p w14:paraId="0604D695">
      <w:pPr>
        <w:rPr>
          <w:rFonts w:hint="eastAsia"/>
          <w:lang w:val="en-US" w:eastAsia="zh-CN"/>
        </w:rPr>
      </w:pPr>
    </w:p>
    <w:p w14:paraId="781F6E6B">
      <w:pPr>
        <w:rPr>
          <w:rFonts w:hint="eastAsia"/>
          <w:lang w:val="en-US" w:eastAsia="zh-CN"/>
        </w:rPr>
      </w:pPr>
    </w:p>
    <w:p w14:paraId="4C929DAF">
      <w:pPr>
        <w:rPr>
          <w:rFonts w:hint="eastAsia"/>
          <w:lang w:val="en-US" w:eastAsia="zh-CN"/>
        </w:rPr>
      </w:pPr>
    </w:p>
    <w:p w14:paraId="4BF5D4C3">
      <w:pPr>
        <w:rPr>
          <w:rFonts w:hint="eastAsia"/>
          <w:lang w:val="en-US" w:eastAsia="zh-CN"/>
        </w:rPr>
      </w:pPr>
    </w:p>
    <w:p w14:paraId="0D7E7408">
      <w:pPr>
        <w:rPr>
          <w:rFonts w:hint="eastAsia"/>
          <w:lang w:val="en-US" w:eastAsia="zh-CN"/>
        </w:rPr>
      </w:pPr>
    </w:p>
    <w:p w14:paraId="35FF2FA1">
      <w:pPr>
        <w:pStyle w:val="3"/>
        <w:pageBreakBefore w:val="0"/>
        <w:widowControl w:val="0"/>
        <w:kinsoku/>
        <w:wordWrap/>
        <w:overflowPunct/>
        <w:topLinePunct w:val="0"/>
        <w:autoSpaceDE/>
        <w:autoSpaceDN/>
        <w:bidi w:val="0"/>
        <w:adjustRightInd/>
        <w:snapToGrid/>
        <w:spacing w:before="0" w:beforeLines="0" w:after="0" w:afterLines="0" w:line="560" w:lineRule="exact"/>
        <w:textAlignment w:val="auto"/>
        <w:rPr>
          <w:rFonts w:hint="eastAsia"/>
          <w:lang w:val="en-US" w:eastAsia="zh-CN"/>
        </w:rPr>
      </w:pPr>
      <w:r>
        <w:rPr>
          <w:rFonts w:hint="eastAsia"/>
          <w:lang w:val="en-US" w:eastAsia="zh-CN"/>
        </w:rPr>
        <w:t>三、活动资料展示</w:t>
      </w:r>
    </w:p>
    <w:p w14:paraId="31BEFA56">
      <w:pPr>
        <w:pStyle w:val="2"/>
        <w:bidi w:val="0"/>
        <w:jc w:val="center"/>
        <w:rPr>
          <w:rFonts w:hint="eastAsia"/>
          <w:lang w:val="en-US" w:eastAsia="zh-CN"/>
        </w:rPr>
      </w:pPr>
      <w:r>
        <w:rPr>
          <w:rFonts w:hint="eastAsia"/>
          <w:lang w:val="en-US" w:eastAsia="zh-CN"/>
        </w:rPr>
        <w:t>市中区社区精神障碍社区康复方案</w:t>
      </w:r>
    </w:p>
    <w:p w14:paraId="5630ECD7">
      <w:pPr>
        <w:pStyle w:val="2"/>
        <w:bidi w:val="0"/>
        <w:jc w:val="center"/>
        <w:rPr>
          <w:rFonts w:hint="eastAsia"/>
          <w:lang w:val="en-US" w:eastAsia="zh-CN"/>
        </w:rPr>
      </w:pPr>
      <w:r>
        <w:rPr>
          <w:rFonts w:hint="eastAsia" w:ascii="宋体" w:hAnsi="宋体" w:eastAsia="宋体" w:cs="宋体"/>
          <w:b/>
          <w:bCs w:val="0"/>
          <w:sz w:val="28"/>
          <w:szCs w:val="18"/>
          <w:lang w:val="en-US" w:eastAsia="zh-CN"/>
        </w:rPr>
        <w:t>—“同心志远一路向阳”</w:t>
      </w:r>
    </w:p>
    <w:p w14:paraId="6FC8DF0C">
      <w:pPr>
        <w:rPr>
          <w:rFonts w:hint="eastAsia"/>
          <w:lang w:val="en-US" w:eastAsia="zh-CN"/>
        </w:rPr>
      </w:pPr>
    </w:p>
    <w:p w14:paraId="5A555FA0">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时间：2025年02月19日地点：石雁儿社区精神康复站点</w:t>
      </w:r>
    </w:p>
    <w:p w14:paraId="0E3B9170">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参加人员：市中区社区工作人员</w:t>
      </w:r>
    </w:p>
    <w:p w14:paraId="738D7819">
      <w:pPr>
        <w:spacing w:line="360" w:lineRule="auto"/>
        <w:ind w:firstLine="1200" w:firstLineChars="5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心理健康辅导中心办公室工作人员</w:t>
      </w:r>
    </w:p>
    <w:p w14:paraId="37C9D84D">
      <w:pPr>
        <w:spacing w:line="360" w:lineRule="auto"/>
        <w:ind w:firstLine="1200" w:firstLineChars="500"/>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市中区社区康复对象</w:t>
      </w:r>
    </w:p>
    <w:p w14:paraId="2E223068">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主题：康复有伴嘉心同行</w:t>
      </w:r>
    </w:p>
    <w:tbl>
      <w:tblPr>
        <w:tblStyle w:val="8"/>
        <w:tblpPr w:leftFromText="180" w:rightFromText="180" w:vertAnchor="text" w:horzAnchor="page" w:tblpX="1980" w:tblpY="521"/>
        <w:tblOverlap w:val="never"/>
        <w:tblW w:w="84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3"/>
        <w:gridCol w:w="3606"/>
        <w:gridCol w:w="2820"/>
      </w:tblGrid>
      <w:tr w14:paraId="02B25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2033" w:type="dxa"/>
            <w:vAlign w:val="center"/>
          </w:tcPr>
          <w:p w14:paraId="294BF043">
            <w:pPr>
              <w:numPr>
                <w:ilvl w:val="0"/>
                <w:numId w:val="0"/>
              </w:num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活动项目</w:t>
            </w:r>
          </w:p>
        </w:tc>
        <w:tc>
          <w:tcPr>
            <w:tcW w:w="3606" w:type="dxa"/>
            <w:vAlign w:val="center"/>
          </w:tcPr>
          <w:p w14:paraId="2F361F52">
            <w:pPr>
              <w:numPr>
                <w:ilvl w:val="0"/>
                <w:numId w:val="0"/>
              </w:num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内容</w:t>
            </w:r>
          </w:p>
        </w:tc>
        <w:tc>
          <w:tcPr>
            <w:tcW w:w="2820" w:type="dxa"/>
            <w:vAlign w:val="center"/>
          </w:tcPr>
          <w:p w14:paraId="4C3AD233">
            <w:pPr>
              <w:numPr>
                <w:ilvl w:val="0"/>
                <w:numId w:val="0"/>
              </w:num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备注</w:t>
            </w:r>
          </w:p>
        </w:tc>
      </w:tr>
      <w:tr w14:paraId="7C45C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2033" w:type="dxa"/>
            <w:vAlign w:val="center"/>
          </w:tcPr>
          <w:p w14:paraId="5563C6C6">
            <w:pPr>
              <w:numPr>
                <w:ilvl w:val="0"/>
                <w:numId w:val="0"/>
              </w:numPr>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心理讲座</w:t>
            </w:r>
          </w:p>
        </w:tc>
        <w:tc>
          <w:tcPr>
            <w:tcW w:w="3606" w:type="dxa"/>
            <w:vAlign w:val="center"/>
          </w:tcPr>
          <w:p w14:paraId="5B6EF847">
            <w:pPr>
              <w:numPr>
                <w:ilvl w:val="0"/>
                <w:numId w:val="0"/>
              </w:numPr>
              <w:jc w:val="center"/>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如何缓解社交恐惧指南</w:t>
            </w:r>
          </w:p>
        </w:tc>
        <w:tc>
          <w:tcPr>
            <w:tcW w:w="2820" w:type="dxa"/>
            <w:vAlign w:val="center"/>
          </w:tcPr>
          <w:p w14:paraId="4120EF22">
            <w:pPr>
              <w:numPr>
                <w:ilvl w:val="0"/>
                <w:numId w:val="0"/>
              </w:numPr>
              <w:jc w:val="center"/>
              <w:rPr>
                <w:rFonts w:hint="default" w:ascii="宋体" w:hAnsi="宋体" w:eastAsia="宋体" w:cs="宋体"/>
                <w:b w:val="0"/>
                <w:bCs w:val="0"/>
                <w:sz w:val="22"/>
                <w:szCs w:val="22"/>
                <w:vertAlign w:val="baseline"/>
                <w:lang w:val="en-US" w:eastAsia="zh-CN"/>
              </w:rPr>
            </w:pPr>
            <w:r>
              <w:rPr>
                <w:rFonts w:hint="eastAsia" w:ascii="宋体" w:hAnsi="宋体" w:eastAsia="宋体" w:cs="宋体"/>
                <w:b w:val="0"/>
                <w:bCs w:val="0"/>
                <w:sz w:val="21"/>
                <w:szCs w:val="21"/>
                <w:vertAlign w:val="baseline"/>
                <w:lang w:val="en-US" w:eastAsia="zh-CN"/>
              </w:rPr>
              <w:t>心理支持</w:t>
            </w:r>
          </w:p>
        </w:tc>
      </w:tr>
      <w:tr w14:paraId="2FCC8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9" w:hRule="atLeast"/>
        </w:trPr>
        <w:tc>
          <w:tcPr>
            <w:tcW w:w="2033" w:type="dxa"/>
            <w:vMerge w:val="restart"/>
            <w:shd w:val="clear" w:color="auto" w:fill="auto"/>
            <w:vAlign w:val="center"/>
          </w:tcPr>
          <w:p w14:paraId="73BD7E1A">
            <w:pPr>
              <w:numPr>
                <w:ilvl w:val="0"/>
                <w:numId w:val="0"/>
              </w:numPr>
              <w:ind w:left="0" w:leftChars="0" w:firstLine="0" w:firstLineChars="0"/>
              <w:jc w:val="center"/>
              <w:rPr>
                <w:rFonts w:hint="default"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愈境通关挑战</w:t>
            </w:r>
          </w:p>
        </w:tc>
        <w:tc>
          <w:tcPr>
            <w:tcW w:w="3606" w:type="dxa"/>
            <w:shd w:val="clear" w:color="auto" w:fill="auto"/>
            <w:vAlign w:val="center"/>
          </w:tcPr>
          <w:p w14:paraId="04FCE5FE">
            <w:pPr>
              <w:numPr>
                <w:ilvl w:val="0"/>
                <w:numId w:val="0"/>
              </w:numPr>
              <w:ind w:left="0" w:leftChars="0" w:firstLine="0" w:firstLineChars="0"/>
              <w:jc w:val="left"/>
              <w:rPr>
                <w:rFonts w:hint="default" w:ascii="宋体" w:hAnsi="宋体" w:eastAsia="宋体" w:cs="宋体"/>
                <w:kern w:val="2"/>
                <w:sz w:val="21"/>
                <w:szCs w:val="21"/>
                <w:vertAlign w:val="baseline"/>
                <w:lang w:val="en-US" w:eastAsia="zh-CN" w:bidi="ar-SA"/>
              </w:rPr>
            </w:pPr>
            <w:r>
              <w:rPr>
                <w:rFonts w:hint="eastAsia" w:ascii="宋体" w:hAnsi="宋体" w:eastAsia="宋体" w:cs="宋体"/>
                <w:b w:val="0"/>
                <w:bCs w:val="0"/>
                <w:sz w:val="21"/>
                <w:szCs w:val="21"/>
                <w:vertAlign w:val="baseline"/>
                <w:lang w:val="en-US" w:eastAsia="zh-CN"/>
              </w:rPr>
              <w:t>1.采购达人挑战：随机抽取购物清单，根据清单上的预算进行采购（有限时促销环节），用最少得钱买到更多的商品。</w:t>
            </w:r>
          </w:p>
        </w:tc>
        <w:tc>
          <w:tcPr>
            <w:tcW w:w="2820" w:type="dxa"/>
            <w:shd w:val="clear" w:color="auto" w:fill="auto"/>
            <w:vAlign w:val="center"/>
          </w:tcPr>
          <w:p w14:paraId="5810A8D1">
            <w:pPr>
              <w:numPr>
                <w:ilvl w:val="0"/>
                <w:numId w:val="0"/>
              </w:numPr>
              <w:ind w:left="0" w:leftChars="0" w:firstLine="0" w:firstLineChars="0"/>
              <w:jc w:val="left"/>
              <w:rPr>
                <w:rFonts w:hint="default"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提升日常生活技能，争当购物小能手</w:t>
            </w:r>
          </w:p>
        </w:tc>
      </w:tr>
      <w:tr w14:paraId="1F323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3" w:hRule="atLeast"/>
        </w:trPr>
        <w:tc>
          <w:tcPr>
            <w:tcW w:w="2033" w:type="dxa"/>
            <w:vMerge w:val="continue"/>
            <w:shd w:val="clear" w:color="auto" w:fill="auto"/>
            <w:vAlign w:val="center"/>
          </w:tcPr>
          <w:p w14:paraId="543F814A">
            <w:pPr>
              <w:numPr>
                <w:ilvl w:val="0"/>
                <w:numId w:val="0"/>
              </w:numPr>
              <w:ind w:left="0" w:leftChars="0" w:firstLine="0" w:firstLineChars="0"/>
              <w:jc w:val="center"/>
              <w:rPr>
                <w:rFonts w:hint="eastAsia" w:ascii="宋体" w:hAnsi="宋体" w:eastAsia="宋体" w:cs="宋体"/>
                <w:sz w:val="21"/>
                <w:szCs w:val="21"/>
                <w:vertAlign w:val="baseline"/>
                <w:lang w:val="en-US" w:eastAsia="zh-CN"/>
              </w:rPr>
            </w:pPr>
          </w:p>
        </w:tc>
        <w:tc>
          <w:tcPr>
            <w:tcW w:w="3606" w:type="dxa"/>
            <w:shd w:val="clear" w:color="auto" w:fill="auto"/>
            <w:vAlign w:val="center"/>
          </w:tcPr>
          <w:p w14:paraId="267E1AF9">
            <w:pPr>
              <w:numPr>
                <w:ilvl w:val="0"/>
                <w:numId w:val="0"/>
              </w:numPr>
              <w:ind w:left="0" w:leftChars="0" w:firstLine="0" w:firstLineChars="0"/>
              <w:jc w:val="left"/>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2.阅读知多少：找到阅览室书籍选择自己喜欢的优美段落（不低于20字），分享读后感，并完整背诵该段落。</w:t>
            </w:r>
          </w:p>
        </w:tc>
        <w:tc>
          <w:tcPr>
            <w:tcW w:w="2820" w:type="dxa"/>
            <w:shd w:val="clear" w:color="auto" w:fill="auto"/>
            <w:vAlign w:val="center"/>
          </w:tcPr>
          <w:p w14:paraId="2FEFA222">
            <w:pPr>
              <w:numPr>
                <w:ilvl w:val="0"/>
                <w:numId w:val="0"/>
              </w:numPr>
              <w:ind w:left="0" w:leftChars="0" w:firstLine="0" w:firstLineChars="0"/>
              <w:jc w:val="left"/>
              <w:rPr>
                <w:rFonts w:hint="default"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书中未必有黄金屋但一定有更好的自己</w:t>
            </w:r>
          </w:p>
        </w:tc>
      </w:tr>
      <w:tr w14:paraId="4E63D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0" w:hRule="atLeast"/>
        </w:trPr>
        <w:tc>
          <w:tcPr>
            <w:tcW w:w="2033" w:type="dxa"/>
            <w:vMerge w:val="continue"/>
            <w:shd w:val="clear" w:color="auto" w:fill="auto"/>
            <w:vAlign w:val="center"/>
          </w:tcPr>
          <w:p w14:paraId="3C59A87E">
            <w:pPr>
              <w:numPr>
                <w:ilvl w:val="0"/>
                <w:numId w:val="0"/>
              </w:numPr>
              <w:ind w:left="0" w:leftChars="0" w:firstLine="0" w:firstLineChars="0"/>
              <w:jc w:val="center"/>
              <w:rPr>
                <w:rFonts w:hint="eastAsia" w:ascii="宋体" w:hAnsi="宋体" w:eastAsia="宋体" w:cs="宋体"/>
                <w:sz w:val="21"/>
                <w:szCs w:val="21"/>
                <w:vertAlign w:val="baseline"/>
                <w:lang w:val="en-US" w:eastAsia="zh-CN"/>
              </w:rPr>
            </w:pPr>
          </w:p>
        </w:tc>
        <w:tc>
          <w:tcPr>
            <w:tcW w:w="3606" w:type="dxa"/>
            <w:shd w:val="clear" w:color="auto" w:fill="auto"/>
            <w:vAlign w:val="center"/>
          </w:tcPr>
          <w:p w14:paraId="72103090">
            <w:pPr>
              <w:numPr>
                <w:ilvl w:val="0"/>
                <w:numId w:val="0"/>
              </w:numPr>
              <w:ind w:left="0" w:leftChars="0" w:firstLine="0" w:firstLineChars="0"/>
              <w:jc w:val="center"/>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3.搭来搭“趣”：团队协作利用创意室积木搭建建筑物，会引入地震测试，测试建筑物的稳固程度</w:t>
            </w:r>
          </w:p>
        </w:tc>
        <w:tc>
          <w:tcPr>
            <w:tcW w:w="2820" w:type="dxa"/>
            <w:shd w:val="clear" w:color="auto" w:fill="auto"/>
            <w:vAlign w:val="center"/>
          </w:tcPr>
          <w:p w14:paraId="67D004B2">
            <w:pPr>
              <w:numPr>
                <w:ilvl w:val="0"/>
                <w:numId w:val="0"/>
              </w:numPr>
              <w:ind w:left="0" w:leftChars="0" w:firstLine="0" w:firstLineChars="0"/>
              <w:jc w:val="left"/>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一个人的努力是加法</w:t>
            </w:r>
          </w:p>
          <w:p w14:paraId="3DF18635">
            <w:pPr>
              <w:numPr>
                <w:ilvl w:val="0"/>
                <w:numId w:val="0"/>
              </w:numPr>
              <w:ind w:left="0" w:leftChars="0" w:firstLine="0" w:firstLineChars="0"/>
              <w:jc w:val="left"/>
              <w:rPr>
                <w:rFonts w:hint="default"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一群人的努力是乘法</w:t>
            </w:r>
          </w:p>
        </w:tc>
      </w:tr>
    </w:tbl>
    <w:p w14:paraId="325E8FB5">
      <w:pPr>
        <w:pageBreakBefore w:val="0"/>
        <w:widowControl w:val="0"/>
        <w:kinsoku/>
        <w:wordWrap/>
        <w:overflowPunct/>
        <w:topLinePunct w:val="0"/>
        <w:autoSpaceDE/>
        <w:autoSpaceDN/>
        <w:bidi w:val="0"/>
        <w:adjustRightInd/>
        <w:snapToGrid/>
        <w:spacing w:line="560" w:lineRule="exact"/>
        <w:textAlignment w:val="auto"/>
        <w:rPr>
          <w:rFonts w:hint="default" w:ascii="方正仿宋_GB2312" w:hAnsi="方正仿宋_GB2312" w:eastAsia="方正仿宋_GB2312" w:cs="方正仿宋_GB2312"/>
          <w:sz w:val="30"/>
          <w:szCs w:val="30"/>
          <w:lang w:val="en-US" w:eastAsia="zh-CN"/>
        </w:rPr>
      </w:pPr>
    </w:p>
    <w:p w14:paraId="693A5EE3">
      <w:pPr>
        <w:autoSpaceDE w:val="0"/>
        <w:spacing w:line="0" w:lineRule="atLeast"/>
        <w:jc w:val="center"/>
        <w:rPr>
          <w:rFonts w:hint="default" w:ascii="仿宋" w:hAnsi="仿宋" w:eastAsia="仿宋"/>
          <w:sz w:val="32"/>
          <w:szCs w:val="32"/>
          <w:lang w:val="en-US" w:eastAsia="zh-CN"/>
        </w:rPr>
      </w:pPr>
      <w:r>
        <w:rPr>
          <w:rFonts w:hint="eastAsia" w:ascii="方正小标宋简体" w:eastAsia="方正小标宋简体"/>
          <w:color w:val="FF0000"/>
          <w:sz w:val="112"/>
          <w:szCs w:val="112"/>
        </w:rPr>
        <w:t>康复简报</w:t>
      </w:r>
    </w:p>
    <w:p w14:paraId="32D85ED9">
      <w:pPr>
        <w:autoSpaceDE w:val="0"/>
        <w:spacing w:line="0" w:lineRule="atLeast"/>
        <w:ind w:firstLine="1600" w:firstLineChars="500"/>
        <w:rPr>
          <w:rFonts w:hint="eastAsia" w:ascii="仿宋" w:hAnsi="仿宋" w:eastAsia="仿宋"/>
          <w:sz w:val="32"/>
          <w:szCs w:val="32"/>
          <w:lang w:eastAsia="zh-CN"/>
        </w:rPr>
      </w:pPr>
    </w:p>
    <w:p w14:paraId="2AA2E20E">
      <w:pPr>
        <w:autoSpaceDE w:val="0"/>
        <w:spacing w:line="0" w:lineRule="atLeast"/>
        <w:jc w:val="left"/>
        <w:rPr>
          <w:rFonts w:hint="eastAsia" w:ascii="仿宋" w:hAnsi="仿宋" w:eastAsia="仿宋"/>
          <w:sz w:val="32"/>
          <w:szCs w:val="32"/>
        </w:rPr>
      </w:pPr>
      <w:r>
        <w:rPr>
          <w:rFonts w:hint="eastAsia" w:ascii="仿宋" w:hAnsi="仿宋" w:eastAsia="仿宋"/>
          <w:sz w:val="32"/>
          <w:szCs w:val="32"/>
          <w:lang w:val="en-US" w:eastAsia="zh-CN"/>
        </w:rPr>
        <w:t>石雁儿</w:t>
      </w:r>
      <w:r>
        <w:rPr>
          <w:rFonts w:hint="eastAsia" w:ascii="仿宋" w:hAnsi="仿宋" w:eastAsia="仿宋"/>
          <w:sz w:val="32"/>
          <w:szCs w:val="32"/>
          <w:lang w:eastAsia="zh-CN"/>
        </w:rPr>
        <w:t>社区嘉心驿站</w:t>
      </w:r>
      <w:r>
        <w:rPr>
          <w:rFonts w:hint="eastAsia" w:ascii="仿宋" w:hAnsi="仿宋" w:eastAsia="仿宋"/>
          <w:sz w:val="32"/>
          <w:szCs w:val="32"/>
        </w:rPr>
        <w:t>202</w:t>
      </w:r>
      <w:r>
        <w:rPr>
          <w:rFonts w:hint="eastAsia" w:ascii="仿宋" w:hAnsi="仿宋" w:eastAsia="仿宋"/>
          <w:sz w:val="32"/>
          <w:szCs w:val="32"/>
          <w:lang w:val="en-US" w:eastAsia="zh-CN"/>
        </w:rPr>
        <w:t>4</w:t>
      </w:r>
      <w:r>
        <w:rPr>
          <w:rFonts w:hint="eastAsia" w:ascii="仿宋" w:hAnsi="仿宋" w:eastAsia="仿宋"/>
          <w:sz w:val="32"/>
          <w:szCs w:val="32"/>
        </w:rPr>
        <w:t>年</w:t>
      </w:r>
      <w:r>
        <w:rPr>
          <w:rFonts w:hint="eastAsia" w:ascii="仿宋" w:hAnsi="仿宋" w:eastAsia="仿宋"/>
          <w:sz w:val="32"/>
          <w:szCs w:val="32"/>
          <w:lang w:val="en-US" w:eastAsia="zh-CN"/>
        </w:rPr>
        <w:t>02</w:t>
      </w:r>
      <w:r>
        <w:rPr>
          <w:rFonts w:hint="eastAsia" w:ascii="仿宋" w:hAnsi="仿宋" w:eastAsia="仿宋"/>
          <w:sz w:val="32"/>
          <w:szCs w:val="32"/>
        </w:rPr>
        <w:t>月</w:t>
      </w:r>
      <w:r>
        <w:rPr>
          <w:rFonts w:hint="eastAsia" w:ascii="仿宋" w:hAnsi="仿宋" w:eastAsia="仿宋"/>
          <w:sz w:val="32"/>
          <w:szCs w:val="32"/>
          <w:lang w:val="en-US" w:eastAsia="zh-CN"/>
        </w:rPr>
        <w:t>19</w:t>
      </w:r>
      <w:r>
        <w:rPr>
          <w:rFonts w:hint="eastAsia" w:ascii="仿宋" w:hAnsi="仿宋" w:eastAsia="仿宋"/>
          <w:sz w:val="32"/>
          <w:szCs w:val="32"/>
        </w:rPr>
        <w:t>日</w:t>
      </w:r>
    </w:p>
    <w:p w14:paraId="3A6F0CEE">
      <w:pPr>
        <w:pBdr>
          <w:bottom w:val="single" w:color="FF0000" w:sz="18" w:space="2"/>
        </w:pBdr>
        <w:autoSpaceDE w:val="0"/>
        <w:spacing w:line="0" w:lineRule="atLeast"/>
        <w:rPr>
          <w:rFonts w:hint="eastAsia" w:ascii="仿宋" w:hAnsi="仿宋" w:eastAsia="仿宋" w:cs="仿宋"/>
          <w:sz w:val="32"/>
          <w:szCs w:val="32"/>
          <w:lang w:val="en-US" w:eastAsia="zh-CN"/>
        </w:rPr>
      </w:pPr>
    </w:p>
    <w:p w14:paraId="2CBE2B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2月19日，市中区石雁儿社区精神康复站点成功举办以“康复有伴嘉心同行”为主题的社区康复活动。活动由心理健康辅导中心工作人员及康复对象共同参与，旨在通过多元化训练提升患者生活技能与社交能力，助力其融入社会。</w:t>
      </w:r>
    </w:p>
    <w:p w14:paraId="0C041AD7">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425" w:leftChars="0" w:hanging="425" w:firstLineChars="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心理讲座：缓解社交恐惧指南专业心理咨询师结合案例解析社交恐惧的成因与应对策略，引导患者通过正念呼吸、情境模拟等方式逐步克服心理障碍。</w:t>
      </w:r>
    </w:p>
    <w:p w14:paraId="2DADB315">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425" w:leftChars="0" w:hanging="425" w:firstLineChars="0"/>
        <w:textAlignment w:val="auto"/>
        <w:rPr>
          <w:rFonts w:ascii="仿宋" w:hAnsi="仿宋" w:eastAsia="仿宋" w:cs="仿宋"/>
          <w:kern w:val="2"/>
          <w:sz w:val="32"/>
          <w:szCs w:val="32"/>
          <w:lang w:bidi="ar-SA"/>
        </w:rPr>
      </w:pPr>
      <w:r>
        <w:rPr>
          <w:rFonts w:hint="eastAsia" w:ascii="仿宋" w:hAnsi="仿宋" w:eastAsia="仿宋" w:cs="仿宋"/>
          <w:sz w:val="32"/>
          <w:szCs w:val="32"/>
          <w:lang w:val="en-US" w:eastAsia="zh-CN"/>
        </w:rPr>
        <w:t>愈境通关挑战</w:t>
      </w:r>
    </w:p>
    <w:p w14:paraId="55411D2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ascii="仿宋" w:hAnsi="仿宋" w:eastAsia="仿宋" w:cs="仿宋"/>
          <w:kern w:val="2"/>
          <w:sz w:val="32"/>
          <w:szCs w:val="32"/>
          <w:lang w:bidi="ar-SA"/>
        </w:rPr>
        <w:t>采购达人挑战：患者需在预算限制内，限时完成购物清单，</w:t>
      </w:r>
      <w:r>
        <w:rPr>
          <w:rFonts w:hint="eastAsia" w:ascii="仿宋" w:hAnsi="仿宋" w:eastAsia="仿宋" w:cs="仿宋"/>
          <w:kern w:val="2"/>
          <w:sz w:val="32"/>
          <w:szCs w:val="32"/>
          <w:lang w:val="en-US" w:eastAsia="zh-CN" w:bidi="ar-SA"/>
        </w:rPr>
        <w:t>通过这个挑战，患者不仅能够锻炼自己的决策能力，还能学习到如何在有限的资源下做出最优化的选择。这不仅适用于日常购物，也能够帮助他们在其他生活领域中做出更明智的经济决策。</w:t>
      </w:r>
    </w:p>
    <w:p w14:paraId="16CFF2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kern w:val="2"/>
          <w:sz w:val="32"/>
          <w:szCs w:val="32"/>
          <w:lang w:bidi="ar-SA"/>
        </w:rPr>
      </w:pPr>
      <w:r>
        <w:rPr>
          <w:rFonts w:hint="eastAsia" w:ascii="仿宋" w:hAnsi="仿宋" w:eastAsia="仿宋" w:cs="仿宋"/>
          <w:sz w:val="32"/>
          <w:szCs w:val="32"/>
          <w:lang w:val="en-US" w:eastAsia="zh-CN"/>
        </w:rPr>
        <w:drawing>
          <wp:anchor distT="0" distB="0" distL="114300" distR="114300" simplePos="0" relativeHeight="251659264" behindDoc="0" locked="0" layoutInCell="1" allowOverlap="1">
            <wp:simplePos x="0" y="0"/>
            <wp:positionH relativeFrom="column">
              <wp:posOffset>-60960</wp:posOffset>
            </wp:positionH>
            <wp:positionV relativeFrom="paragraph">
              <wp:posOffset>5373370</wp:posOffset>
            </wp:positionV>
            <wp:extent cx="5585460" cy="2791460"/>
            <wp:effectExtent l="0" t="0" r="15240" b="8890"/>
            <wp:wrapSquare wrapText="bothSides"/>
            <wp:docPr id="4" name="图片 4" descr="微信图片_20250227171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50227171513"/>
                    <pic:cNvPicPr>
                      <a:picLocks noChangeAspect="1"/>
                    </pic:cNvPicPr>
                  </pic:nvPicPr>
                  <pic:blipFill>
                    <a:blip r:embed="rId7"/>
                    <a:stretch>
                      <a:fillRect/>
                    </a:stretch>
                  </pic:blipFill>
                  <pic:spPr>
                    <a:xfrm>
                      <a:off x="0" y="0"/>
                      <a:ext cx="5585460" cy="2791460"/>
                    </a:xfrm>
                    <a:prstGeom prst="rect">
                      <a:avLst/>
                    </a:prstGeom>
                  </pic:spPr>
                </pic:pic>
              </a:graphicData>
            </a:graphic>
          </wp:anchor>
        </w:drawing>
      </w:r>
      <w:r>
        <w:rPr>
          <w:rFonts w:hint="eastAsia" w:ascii="仿宋" w:hAnsi="仿宋" w:eastAsia="仿宋" w:cs="仿宋"/>
          <w:sz w:val="32"/>
          <w:szCs w:val="32"/>
          <w:lang w:val="en-US" w:eastAsia="zh-CN"/>
        </w:rPr>
        <w:drawing>
          <wp:anchor distT="0" distB="0" distL="114300" distR="114300" simplePos="0" relativeHeight="251661312" behindDoc="0" locked="0" layoutInCell="1" allowOverlap="1">
            <wp:simplePos x="0" y="0"/>
            <wp:positionH relativeFrom="column">
              <wp:posOffset>-108585</wp:posOffset>
            </wp:positionH>
            <wp:positionV relativeFrom="page">
              <wp:posOffset>1097280</wp:posOffset>
            </wp:positionV>
            <wp:extent cx="5257800" cy="2388235"/>
            <wp:effectExtent l="0" t="0" r="0" b="12065"/>
            <wp:wrapSquare wrapText="bothSides"/>
            <wp:docPr id="6" name="图片 6" descr="D:/电脑/各站点资料/市中区(1)/市中区/市中区照片/活动照2025.2.19/模拟超市.jpg模拟超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电脑/各站点资料/市中区(1)/市中区/市中区照片/活动照2025.2.19/模拟超市.jpg模拟超市"/>
                    <pic:cNvPicPr>
                      <a:picLocks noChangeAspect="1"/>
                    </pic:cNvPicPr>
                  </pic:nvPicPr>
                  <pic:blipFill>
                    <a:blip r:embed="rId8"/>
                    <a:srcRect l="8" r="8"/>
                    <a:stretch>
                      <a:fillRect/>
                    </a:stretch>
                  </pic:blipFill>
                  <pic:spPr>
                    <a:xfrm>
                      <a:off x="0" y="0"/>
                      <a:ext cx="5257800" cy="2388235"/>
                    </a:xfrm>
                    <a:prstGeom prst="rect">
                      <a:avLst/>
                    </a:prstGeom>
                  </pic:spPr>
                </pic:pic>
              </a:graphicData>
            </a:graphic>
          </wp:anchor>
        </w:drawing>
      </w:r>
      <w:r>
        <w:rPr>
          <w:rFonts w:hint="eastAsia" w:ascii="仿宋" w:hAnsi="仿宋" w:eastAsia="仿宋" w:cs="仿宋"/>
          <w:kern w:val="2"/>
          <w:sz w:val="32"/>
          <w:szCs w:val="32"/>
          <w:lang w:val="en-US" w:eastAsia="zh-CN" w:bidi="ar-SA"/>
        </w:rPr>
        <w:t>在阅读的过程中，患者可以发现，书籍不仅是知识的宝库，更是心灵的慰藉。它们能够引导我们深入思考，激发我们的想象力，甚至在某些时刻，它们能够成为我们最忠实的朋友。通过阅读，我们可以学习到如何更好地管理自己的情绪，如何在逆境中寻找希望，以及如何在日常生活中发现那些微小而美好的事物。书籍的魔力在于它能够潜移默化地影响我们，让我们在不知不觉中成长和进步。</w:t>
      </w:r>
    </w:p>
    <w:p w14:paraId="0100E74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ascii="仿宋" w:hAnsi="仿宋" w:eastAsia="仿宋" w:cs="仿宋"/>
          <w:kern w:val="2"/>
          <w:sz w:val="32"/>
          <w:szCs w:val="32"/>
          <w:lang w:bidi="ar-SA"/>
        </w:rPr>
        <w:t>搭建来，搭建“趣”：通过团队协作的方式，一起动手搭建积木，并模拟地震测试，以增强动手能力，同时加强团队协作意识。在这个过程中，我们还融入了安全教育，让参与者在玩乐中学习到如何在地震等紧急情况下保护自己和他人的安全。</w:t>
      </w:r>
    </w:p>
    <w:p w14:paraId="4A4114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drawing>
          <wp:anchor distT="0" distB="0" distL="114300" distR="114300" simplePos="0" relativeHeight="251660288" behindDoc="0" locked="0" layoutInCell="1" allowOverlap="1">
            <wp:simplePos x="0" y="0"/>
            <wp:positionH relativeFrom="column">
              <wp:posOffset>916940</wp:posOffset>
            </wp:positionH>
            <wp:positionV relativeFrom="paragraph">
              <wp:posOffset>-660400</wp:posOffset>
            </wp:positionV>
            <wp:extent cx="3709670" cy="5661660"/>
            <wp:effectExtent l="0" t="0" r="15240" b="5080"/>
            <wp:wrapSquare wrapText="bothSides"/>
            <wp:docPr id="5" name="图片 5" descr="微信图片_2025022717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50227171522"/>
                    <pic:cNvPicPr>
                      <a:picLocks noChangeAspect="1"/>
                    </pic:cNvPicPr>
                  </pic:nvPicPr>
                  <pic:blipFill>
                    <a:blip r:embed="rId9"/>
                    <a:stretch>
                      <a:fillRect/>
                    </a:stretch>
                  </pic:blipFill>
                  <pic:spPr>
                    <a:xfrm rot="5400000">
                      <a:off x="0" y="0"/>
                      <a:ext cx="3709670" cy="5661660"/>
                    </a:xfrm>
                    <a:prstGeom prst="rect">
                      <a:avLst/>
                    </a:prstGeom>
                  </pic:spPr>
                </pic:pic>
              </a:graphicData>
            </a:graphic>
          </wp:anchor>
        </w:drawing>
      </w:r>
      <w:r>
        <w:rPr>
          <w:rFonts w:hint="eastAsia" w:ascii="仿宋" w:hAnsi="仿宋" w:eastAsia="仿宋" w:cs="仿宋"/>
          <w:sz w:val="32"/>
          <w:szCs w:val="32"/>
          <w:lang w:val="en-US" w:eastAsia="zh-CN"/>
        </w:rPr>
        <w:t>成效与展望</w:t>
      </w:r>
    </w:p>
    <w:p w14:paraId="2A62C7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活动通过“理论+实践”模式，帮助患者将康复训练融入日常生活。例如，采购挑战中部分患者展现了精准计算能力，阅读环节则激发了学习兴趣，</w:t>
      </w:r>
      <w:r>
        <w:rPr>
          <w:rFonts w:ascii="仿宋" w:hAnsi="仿宋" w:eastAsia="仿宋" w:cs="仿宋"/>
          <w:kern w:val="2"/>
          <w:sz w:val="32"/>
          <w:szCs w:val="32"/>
          <w:lang w:bidi="ar-SA"/>
        </w:rPr>
        <w:t>通过搭建积木，康复对象能够获得一个锻炼空间想象能力的机会</w:t>
      </w:r>
      <w:r>
        <w:rPr>
          <w:rFonts w:hint="eastAsia" w:ascii="仿宋" w:hAnsi="仿宋" w:eastAsia="仿宋" w:cs="仿宋"/>
          <w:sz w:val="32"/>
          <w:szCs w:val="32"/>
          <w:lang w:val="en-US" w:eastAsia="zh-CN"/>
        </w:rPr>
        <w:t>。未来，市中区将持续优化康复方案，结合社区支持网络，为患者提供更全面的康复服务，助力其回归社会。</w:t>
      </w:r>
    </w:p>
    <w:p w14:paraId="7216141F">
      <w:pPr>
        <w:pStyle w:val="3"/>
        <w:pageBreakBefore w:val="0"/>
        <w:widowControl w:val="0"/>
        <w:kinsoku/>
        <w:wordWrap/>
        <w:overflowPunct/>
        <w:topLinePunct w:val="0"/>
        <w:autoSpaceDE/>
        <w:autoSpaceDN/>
        <w:bidi w:val="0"/>
        <w:adjustRightInd/>
        <w:snapToGrid/>
        <w:spacing w:before="0" w:beforeLines="0" w:after="0" w:afterLines="0" w:line="560" w:lineRule="exact"/>
        <w:ind w:firstLine="643" w:firstLineChars="200"/>
        <w:textAlignment w:val="auto"/>
        <w:rPr>
          <w:rFonts w:hint="eastAsia"/>
        </w:rPr>
      </w:pPr>
      <w:r>
        <w:rPr>
          <w:rFonts w:hint="eastAsia"/>
          <w:lang w:val="en-US" w:eastAsia="zh-CN"/>
        </w:rPr>
        <w:t>四</w:t>
      </w:r>
      <w:r>
        <w:rPr>
          <w:rFonts w:hint="eastAsia"/>
        </w:rPr>
        <w:t>、项目成效总结</w:t>
      </w:r>
    </w:p>
    <w:p w14:paraId="35F4974F">
      <w:pPr>
        <w:pStyle w:val="4"/>
        <w:pageBreakBefore w:val="0"/>
        <w:widowControl w:val="0"/>
        <w:kinsoku/>
        <w:wordWrap/>
        <w:overflowPunct/>
        <w:topLinePunct w:val="0"/>
        <w:autoSpaceDE/>
        <w:autoSpaceDN/>
        <w:bidi w:val="0"/>
        <w:adjustRightInd/>
        <w:snapToGrid/>
        <w:spacing w:before="0" w:beforeLines="0" w:after="0" w:afterLines="0" w:line="560" w:lineRule="exact"/>
        <w:ind w:firstLine="602" w:firstLineChars="200"/>
        <w:textAlignment w:val="auto"/>
        <w:rPr>
          <w:rFonts w:hint="eastAsia"/>
          <w:sz w:val="30"/>
          <w:szCs w:val="30"/>
        </w:rPr>
      </w:pPr>
      <w:r>
        <w:rPr>
          <w:rFonts w:hint="eastAsia"/>
          <w:sz w:val="30"/>
          <w:szCs w:val="30"/>
        </w:rPr>
        <w:t>（一）服务覆盖目标超额达成，受益人群持续扩大</w:t>
      </w:r>
    </w:p>
    <w:p w14:paraId="75E07E04">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30"/>
          <w:szCs w:val="30"/>
        </w:rPr>
        <w:t>项目超额完成服务人次计划目标，新纳入多名符合条件的市中区精神障碍患者，同时保障前期患者康复需求延续。截至2025年</w:t>
      </w:r>
      <w:r>
        <w:rPr>
          <w:rFonts w:hint="eastAsia" w:ascii="方正仿宋_GB2312" w:hAnsi="方正仿宋_GB2312" w:eastAsia="方正仿宋_GB2312" w:cs="方正仿宋_GB2312"/>
          <w:sz w:val="30"/>
          <w:szCs w:val="30"/>
          <w:lang w:val="en-US" w:eastAsia="zh-CN"/>
        </w:rPr>
        <w:t>12</w:t>
      </w:r>
      <w:r>
        <w:rPr>
          <w:rFonts w:hint="eastAsia" w:ascii="方正仿宋_GB2312" w:hAnsi="方正仿宋_GB2312" w:eastAsia="方正仿宋_GB2312" w:cs="方正仿宋_GB2312"/>
          <w:sz w:val="30"/>
          <w:szCs w:val="30"/>
        </w:rPr>
        <w:t>月11日，海棠街道石雁儿社区站点与通江街道</w:t>
      </w:r>
      <w:r>
        <w:rPr>
          <w:rFonts w:hint="eastAsia" w:ascii="方正仿宋_GB2312" w:hAnsi="方正仿宋_GB2312" w:eastAsia="方正仿宋_GB2312" w:cs="方正仿宋_GB2312"/>
          <w:sz w:val="30"/>
          <w:szCs w:val="30"/>
          <w:lang w:val="en-US" w:eastAsia="zh-CN"/>
        </w:rPr>
        <w:t>乐山市心身医院精神障碍社区康复指导中心</w:t>
      </w:r>
      <w:r>
        <w:rPr>
          <w:rFonts w:hint="eastAsia" w:ascii="方正仿宋_GB2312" w:hAnsi="方正仿宋_GB2312" w:eastAsia="方正仿宋_GB2312" w:cs="方正仿宋_GB2312"/>
          <w:sz w:val="30"/>
          <w:szCs w:val="30"/>
        </w:rPr>
        <w:t>总站合计完成康复训练人次</w:t>
      </w:r>
      <w:r>
        <w:rPr>
          <w:rFonts w:hint="eastAsia" w:ascii="方正仿宋_GB2312" w:hAnsi="方正仿宋_GB2312" w:eastAsia="方正仿宋_GB2312" w:cs="方正仿宋_GB2312"/>
          <w:b/>
          <w:bCs/>
          <w:sz w:val="30"/>
          <w:szCs w:val="30"/>
          <w:lang w:val="en-US" w:eastAsia="zh-CN"/>
        </w:rPr>
        <w:t>864</w:t>
      </w:r>
      <w:r>
        <w:rPr>
          <w:rFonts w:hint="eastAsia" w:ascii="方正仿宋_GB2312" w:hAnsi="方正仿宋_GB2312" w:eastAsia="方正仿宋_GB2312" w:cs="方正仿宋_GB2312"/>
          <w:sz w:val="30"/>
          <w:szCs w:val="30"/>
        </w:rPr>
        <w:t>次，服务触角有效延伸，让区域内患者享受更就近、更专业的康复服务。</w:t>
      </w:r>
    </w:p>
    <w:p w14:paraId="04BB3167">
      <w:pPr>
        <w:pStyle w:val="4"/>
        <w:pageBreakBefore w:val="0"/>
        <w:widowControl w:val="0"/>
        <w:kinsoku/>
        <w:wordWrap/>
        <w:overflowPunct/>
        <w:topLinePunct w:val="0"/>
        <w:autoSpaceDE/>
        <w:autoSpaceDN/>
        <w:bidi w:val="0"/>
        <w:adjustRightInd/>
        <w:snapToGrid/>
        <w:spacing w:before="0" w:beforeLines="0" w:after="0" w:afterLines="0" w:line="560" w:lineRule="exact"/>
        <w:ind w:firstLine="602" w:firstLineChars="200"/>
        <w:textAlignment w:val="auto"/>
        <w:rPr>
          <w:rFonts w:hint="eastAsia"/>
          <w:sz w:val="30"/>
          <w:szCs w:val="30"/>
        </w:rPr>
      </w:pPr>
      <w:r>
        <w:rPr>
          <w:rFonts w:hint="eastAsia"/>
          <w:sz w:val="30"/>
          <w:szCs w:val="30"/>
        </w:rPr>
        <w:t>（二）患者康复能力显著提升，病情稳定性增强</w:t>
      </w:r>
    </w:p>
    <w:p w14:paraId="1A3255CD">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心理与认知能力：通过多样化心理与认知康复训练，患者情绪管理、认知功能、心理韧性得到改善，参与训练的患者反馈“思维更清晰”“情绪调节更自如”。</w:t>
      </w:r>
    </w:p>
    <w:p w14:paraId="624D2851">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生活与职业技能：掌握生活实用技能与职业基础技能的患者比例提升，部分患者已能独立完成日常家务与简单职业任务。</w:t>
      </w:r>
    </w:p>
    <w:p w14:paraId="665A31C0">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社交与文体能力：患者参与社交活动的主动性提高，通过文体艺术疗愈活动，艺术表达与社交互动能力明显进步。</w:t>
      </w:r>
    </w:p>
    <w:p w14:paraId="5686ED98">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病情控制：患者病情稳定性增强，复发风险降低，有效减少致残致贫可能。</w:t>
      </w:r>
    </w:p>
    <w:p w14:paraId="7604A569">
      <w:pPr>
        <w:pStyle w:val="4"/>
        <w:pageBreakBefore w:val="0"/>
        <w:widowControl w:val="0"/>
        <w:kinsoku/>
        <w:wordWrap/>
        <w:overflowPunct/>
        <w:topLinePunct w:val="0"/>
        <w:autoSpaceDE/>
        <w:autoSpaceDN/>
        <w:bidi w:val="0"/>
        <w:adjustRightInd/>
        <w:snapToGrid/>
        <w:spacing w:before="0" w:beforeLines="0" w:after="0" w:afterLines="0" w:line="560" w:lineRule="exact"/>
        <w:ind w:firstLine="602" w:firstLineChars="200"/>
        <w:textAlignment w:val="auto"/>
        <w:rPr>
          <w:rFonts w:hint="eastAsia"/>
          <w:sz w:val="30"/>
          <w:szCs w:val="30"/>
        </w:rPr>
      </w:pPr>
      <w:r>
        <w:rPr>
          <w:rFonts w:hint="eastAsia"/>
          <w:sz w:val="30"/>
          <w:szCs w:val="30"/>
        </w:rPr>
        <w:t>（三）家属照护支持体系完善，照护压力有效缓解</w:t>
      </w:r>
    </w:p>
    <w:p w14:paraId="37F0B6E3">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通过常态化专业指导，家属照护技巧掌握率提升，照护压力减轻，成功构建“患者康复+家属支持”双保障体系，减轻家庭照护负担。</w:t>
      </w:r>
    </w:p>
    <w:p w14:paraId="4D6D2C51">
      <w:pPr>
        <w:pStyle w:val="4"/>
        <w:pageBreakBefore w:val="0"/>
        <w:widowControl w:val="0"/>
        <w:kinsoku/>
        <w:wordWrap/>
        <w:overflowPunct/>
        <w:topLinePunct w:val="0"/>
        <w:autoSpaceDE/>
        <w:autoSpaceDN/>
        <w:bidi w:val="0"/>
        <w:adjustRightInd/>
        <w:snapToGrid/>
        <w:spacing w:before="0" w:beforeLines="0" w:after="0" w:afterLines="0" w:line="560" w:lineRule="exact"/>
        <w:ind w:firstLine="602" w:firstLineChars="200"/>
        <w:textAlignment w:val="auto"/>
        <w:rPr>
          <w:rFonts w:hint="eastAsia"/>
          <w:sz w:val="30"/>
          <w:szCs w:val="30"/>
        </w:rPr>
      </w:pPr>
      <w:r>
        <w:rPr>
          <w:rFonts w:hint="eastAsia"/>
          <w:sz w:val="30"/>
          <w:szCs w:val="30"/>
        </w:rPr>
        <w:t>（四）数据管理规范高效，社会协作深化拓展</w:t>
      </w:r>
    </w:p>
    <w:p w14:paraId="7F16EBF2">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数据管理：精康系统全量、准确录入服务对象信息，其中截至2025年</w:t>
      </w:r>
      <w:r>
        <w:rPr>
          <w:rFonts w:hint="eastAsia" w:ascii="方正仿宋_GB2312" w:hAnsi="方正仿宋_GB2312" w:eastAsia="方正仿宋_GB2312" w:cs="方正仿宋_GB2312"/>
          <w:sz w:val="30"/>
          <w:szCs w:val="30"/>
          <w:lang w:val="en-US" w:eastAsia="zh-CN"/>
        </w:rPr>
        <w:t>12</w:t>
      </w:r>
      <w:r>
        <w:rPr>
          <w:rFonts w:hint="eastAsia" w:ascii="方正仿宋_GB2312" w:hAnsi="方正仿宋_GB2312" w:eastAsia="方正仿宋_GB2312" w:cs="方正仿宋_GB2312"/>
          <w:sz w:val="30"/>
          <w:szCs w:val="30"/>
        </w:rPr>
        <w:t>月11日，</w:t>
      </w:r>
      <w:r>
        <w:rPr>
          <w:rFonts w:hint="eastAsia" w:ascii="方正仿宋_GB2312" w:hAnsi="方正仿宋_GB2312" w:eastAsia="方正仿宋_GB2312" w:cs="方正仿宋_GB2312"/>
          <w:sz w:val="30"/>
          <w:szCs w:val="30"/>
          <w:lang w:val="en-US" w:eastAsia="zh-CN"/>
        </w:rPr>
        <w:t>总站</w:t>
      </w:r>
      <w:r>
        <w:rPr>
          <w:rFonts w:hint="eastAsia" w:ascii="方正仿宋_GB2312" w:hAnsi="方正仿宋_GB2312" w:eastAsia="方正仿宋_GB2312" w:cs="方正仿宋_GB2312"/>
          <w:sz w:val="30"/>
          <w:szCs w:val="30"/>
        </w:rPr>
        <w:t>、</w:t>
      </w:r>
      <w:r>
        <w:rPr>
          <w:rFonts w:hint="eastAsia" w:ascii="方正仿宋_GB2312" w:hAnsi="方正仿宋_GB2312" w:eastAsia="方正仿宋_GB2312" w:cs="方正仿宋_GB2312"/>
          <w:sz w:val="30"/>
          <w:szCs w:val="30"/>
          <w:lang w:val="en-US" w:eastAsia="zh-CN"/>
        </w:rPr>
        <w:t>石雁儿社区</w:t>
      </w:r>
      <w:r>
        <w:rPr>
          <w:rFonts w:hint="eastAsia" w:ascii="方正仿宋_GB2312" w:hAnsi="方正仿宋_GB2312" w:eastAsia="方正仿宋_GB2312" w:cs="方正仿宋_GB2312"/>
          <w:sz w:val="30"/>
          <w:szCs w:val="30"/>
        </w:rPr>
        <w:t>两个站点康复训练合计</w:t>
      </w:r>
      <w:r>
        <w:rPr>
          <w:rFonts w:hint="eastAsia" w:ascii="方正仿宋_GB2312" w:hAnsi="方正仿宋_GB2312" w:eastAsia="方正仿宋_GB2312" w:cs="方正仿宋_GB2312"/>
          <w:sz w:val="30"/>
          <w:szCs w:val="30"/>
          <w:lang w:val="en-US" w:eastAsia="zh-CN"/>
        </w:rPr>
        <w:t>864人</w:t>
      </w:r>
      <w:r>
        <w:rPr>
          <w:rFonts w:hint="eastAsia" w:ascii="方正仿宋_GB2312" w:hAnsi="方正仿宋_GB2312" w:eastAsia="方正仿宋_GB2312" w:cs="方正仿宋_GB2312"/>
          <w:sz w:val="30"/>
          <w:szCs w:val="30"/>
        </w:rPr>
        <w:t>次，数据完整规范，为后续服务优化与政策评估提供数据基础；</w:t>
      </w:r>
    </w:p>
    <w:p w14:paraId="43293845">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社会协作：联合多部门及爱心企业开展社会融入活动与就业帮扶，助力患者回归社会。</w:t>
      </w:r>
    </w:p>
    <w:p w14:paraId="2BB1EF43">
      <w:pPr>
        <w:pStyle w:val="3"/>
        <w:pageBreakBefore w:val="0"/>
        <w:widowControl w:val="0"/>
        <w:kinsoku/>
        <w:wordWrap/>
        <w:overflowPunct/>
        <w:topLinePunct w:val="0"/>
        <w:autoSpaceDE/>
        <w:autoSpaceDN/>
        <w:bidi w:val="0"/>
        <w:adjustRightInd/>
        <w:snapToGrid/>
        <w:spacing w:before="0" w:beforeLines="0" w:after="0" w:afterLines="0" w:line="560" w:lineRule="exact"/>
        <w:ind w:firstLine="643" w:firstLineChars="200"/>
        <w:textAlignment w:val="auto"/>
        <w:rPr>
          <w:rFonts w:hint="eastAsia"/>
        </w:rPr>
      </w:pPr>
      <w:r>
        <w:rPr>
          <w:rFonts w:hint="eastAsia"/>
          <w:lang w:val="en-US" w:eastAsia="zh-CN"/>
        </w:rPr>
        <w:t>五</w:t>
      </w:r>
      <w:r>
        <w:rPr>
          <w:rFonts w:hint="eastAsia"/>
        </w:rPr>
        <w:t>、存在问题与不足</w:t>
      </w:r>
    </w:p>
    <w:p w14:paraId="55CB369F">
      <w:pPr>
        <w:pStyle w:val="4"/>
        <w:pageBreakBefore w:val="0"/>
        <w:widowControl w:val="0"/>
        <w:kinsoku/>
        <w:wordWrap/>
        <w:overflowPunct/>
        <w:topLinePunct w:val="0"/>
        <w:autoSpaceDE/>
        <w:autoSpaceDN/>
        <w:bidi w:val="0"/>
        <w:adjustRightInd/>
        <w:snapToGrid/>
        <w:spacing w:before="0" w:beforeLines="0" w:after="0" w:afterLines="0" w:line="560" w:lineRule="exact"/>
        <w:ind w:firstLine="602" w:firstLineChars="200"/>
        <w:textAlignment w:val="auto"/>
        <w:rPr>
          <w:rFonts w:hint="eastAsia"/>
          <w:sz w:val="30"/>
          <w:szCs w:val="30"/>
        </w:rPr>
      </w:pPr>
      <w:r>
        <w:rPr>
          <w:rFonts w:hint="eastAsia"/>
          <w:sz w:val="30"/>
          <w:szCs w:val="30"/>
        </w:rPr>
        <w:t>（一）职业培训精准度有待提升</w:t>
      </w:r>
    </w:p>
    <w:p w14:paraId="25F72446">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部分职业技能训练内容与本地市场需求匹配度不足，就业转化效率有待提升，需进一步结合区域产业特点优化培训内容。</w:t>
      </w:r>
    </w:p>
    <w:p w14:paraId="7BA5E92D">
      <w:pPr>
        <w:pStyle w:val="4"/>
        <w:pageBreakBefore w:val="0"/>
        <w:widowControl w:val="0"/>
        <w:kinsoku/>
        <w:wordWrap/>
        <w:overflowPunct/>
        <w:topLinePunct w:val="0"/>
        <w:autoSpaceDE/>
        <w:autoSpaceDN/>
        <w:bidi w:val="0"/>
        <w:adjustRightInd/>
        <w:snapToGrid/>
        <w:spacing w:before="0" w:beforeLines="0" w:after="0" w:afterLines="0" w:line="560" w:lineRule="exact"/>
        <w:ind w:firstLine="602" w:firstLineChars="200"/>
        <w:textAlignment w:val="auto"/>
        <w:rPr>
          <w:rFonts w:hint="eastAsia"/>
          <w:sz w:val="30"/>
          <w:szCs w:val="30"/>
        </w:rPr>
      </w:pPr>
      <w:r>
        <w:rPr>
          <w:rFonts w:hint="eastAsia"/>
          <w:sz w:val="30"/>
          <w:szCs w:val="30"/>
        </w:rPr>
        <w:t>（二）患者自我效能仍需强化</w:t>
      </w:r>
    </w:p>
    <w:p w14:paraId="60A03CF3">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部分患者自我管理主动性不足、社会参与畏难情绪，需通过更针对性的激励机制提升其自我效能。</w:t>
      </w:r>
    </w:p>
    <w:p w14:paraId="12FD98C5">
      <w:pPr>
        <w:pStyle w:val="4"/>
        <w:pageBreakBefore w:val="0"/>
        <w:widowControl w:val="0"/>
        <w:kinsoku/>
        <w:wordWrap/>
        <w:overflowPunct/>
        <w:topLinePunct w:val="0"/>
        <w:autoSpaceDE/>
        <w:autoSpaceDN/>
        <w:bidi w:val="0"/>
        <w:adjustRightInd/>
        <w:snapToGrid/>
        <w:spacing w:before="0" w:beforeLines="0" w:after="0" w:afterLines="0" w:line="560" w:lineRule="exact"/>
        <w:ind w:firstLine="602" w:firstLineChars="200"/>
        <w:textAlignment w:val="auto"/>
        <w:rPr>
          <w:rFonts w:hint="eastAsia"/>
          <w:sz w:val="30"/>
          <w:szCs w:val="30"/>
        </w:rPr>
      </w:pPr>
      <w:r>
        <w:rPr>
          <w:rFonts w:hint="eastAsia"/>
          <w:sz w:val="30"/>
          <w:szCs w:val="30"/>
        </w:rPr>
        <w:t>（三）院外康复服务覆盖不充分</w:t>
      </w:r>
    </w:p>
    <w:p w14:paraId="0ACDD8C4">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依托医院资源的院外延伸服务尚未充分拓展，部分区域患者仍存在服务可达性问题。</w:t>
      </w:r>
    </w:p>
    <w:p w14:paraId="21B3221A">
      <w:pPr>
        <w:pStyle w:val="3"/>
        <w:pageBreakBefore w:val="0"/>
        <w:widowControl w:val="0"/>
        <w:kinsoku/>
        <w:wordWrap/>
        <w:overflowPunct/>
        <w:topLinePunct w:val="0"/>
        <w:autoSpaceDE/>
        <w:autoSpaceDN/>
        <w:bidi w:val="0"/>
        <w:adjustRightInd/>
        <w:snapToGrid/>
        <w:spacing w:before="0" w:beforeLines="0" w:after="0" w:afterLines="0" w:line="560" w:lineRule="exact"/>
        <w:ind w:firstLine="643" w:firstLineChars="200"/>
        <w:textAlignment w:val="auto"/>
        <w:rPr>
          <w:rFonts w:hint="eastAsia"/>
        </w:rPr>
      </w:pPr>
      <w:r>
        <w:rPr>
          <w:rFonts w:hint="eastAsia"/>
          <w:lang w:val="en-US" w:eastAsia="zh-CN"/>
        </w:rPr>
        <w:t>六</w:t>
      </w:r>
      <w:r>
        <w:rPr>
          <w:rFonts w:hint="eastAsia"/>
        </w:rPr>
        <w:t>、后续工作计划</w:t>
      </w:r>
    </w:p>
    <w:p w14:paraId="285A04CD">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下一步，我们将立足项目成效，聚焦服务提质扩面，持续深化精神障碍社区康复工作。依托乐山市心身医院医疗资源，建立“医院-社区-家庭”联动机制，重点推进出院患者过渡期康复服务与重症患者医疗巡诊工作，持续拓展院外康复服务覆盖范围；建立常态化需求调研与服务计划调整机制，紧密结合区域产业发展政策优化服务内容，确保服务供给与时俱进；强化职业技能培训的针对性和实用性，贴合本地产业需求优化培训课程，搭建稳定的就业对接平台，着力提升患者就业转化效率；通过榜样示范引领、个性化激励引导、心理支持强化等多元举措，持续激发患者自我管理主动性与社会参与积极性；充分依托精康系统数据资源，构建服务成效分析模型，动态优化康复服务方案，积极推动数据共享共用，为区域精神卫生事业发展政策制定提供有力支撑。</w:t>
      </w:r>
    </w:p>
    <w:p w14:paraId="4AD84A67">
      <w:pPr>
        <w:pageBreakBefore w:val="0"/>
        <w:widowControl w:val="0"/>
        <w:kinsoku/>
        <w:wordWrap/>
        <w:overflowPunct/>
        <w:topLinePunct w:val="0"/>
        <w:autoSpaceDE/>
        <w:autoSpaceDN/>
        <w:bidi w:val="0"/>
        <w:adjustRightInd/>
        <w:snapToGrid/>
        <w:spacing w:line="560" w:lineRule="exact"/>
        <w:jc w:val="both"/>
        <w:textAlignment w:val="auto"/>
        <w:rPr>
          <w:rFonts w:hint="eastAsia" w:ascii="方正仿宋_GB2312" w:hAnsi="方正仿宋_GB2312" w:eastAsia="方正仿宋_GB2312" w:cs="方正仿宋_GB2312"/>
          <w:sz w:val="30"/>
          <w:szCs w:val="30"/>
        </w:rPr>
      </w:pPr>
    </w:p>
    <w:p w14:paraId="38C8B07E">
      <w:pPr>
        <w:pageBreakBefore w:val="0"/>
        <w:widowControl w:val="0"/>
        <w:kinsoku/>
        <w:wordWrap/>
        <w:overflowPunct/>
        <w:topLinePunct w:val="0"/>
        <w:autoSpaceDE/>
        <w:autoSpaceDN/>
        <w:bidi w:val="0"/>
        <w:adjustRightInd/>
        <w:snapToGrid/>
        <w:spacing w:line="560" w:lineRule="exact"/>
        <w:jc w:val="both"/>
        <w:textAlignment w:val="auto"/>
        <w:rPr>
          <w:rFonts w:hint="eastAsia" w:ascii="方正仿宋_GB2312" w:hAnsi="方正仿宋_GB2312" w:eastAsia="方正仿宋_GB2312" w:cs="方正仿宋_GB2312"/>
          <w:sz w:val="30"/>
          <w:szCs w:val="30"/>
        </w:rPr>
      </w:pPr>
    </w:p>
    <w:p w14:paraId="5536B85B">
      <w:pPr>
        <w:pageBreakBefore w:val="0"/>
        <w:widowControl w:val="0"/>
        <w:kinsoku/>
        <w:wordWrap/>
        <w:overflowPunct/>
        <w:topLinePunct w:val="0"/>
        <w:autoSpaceDE/>
        <w:autoSpaceDN/>
        <w:bidi w:val="0"/>
        <w:adjustRightInd/>
        <w:snapToGrid/>
        <w:spacing w:line="560" w:lineRule="exact"/>
        <w:jc w:val="both"/>
        <w:textAlignment w:val="auto"/>
        <w:rPr>
          <w:rFonts w:hint="eastAsia" w:ascii="方正仿宋_GB2312" w:hAnsi="方正仿宋_GB2312" w:eastAsia="方正仿宋_GB2312" w:cs="方正仿宋_GB2312"/>
          <w:sz w:val="30"/>
          <w:szCs w:val="30"/>
        </w:rPr>
      </w:pPr>
    </w:p>
    <w:p w14:paraId="58371F09">
      <w:pPr>
        <w:pageBreakBefore w:val="0"/>
        <w:widowControl w:val="0"/>
        <w:kinsoku/>
        <w:wordWrap/>
        <w:overflowPunct/>
        <w:topLinePunct w:val="0"/>
        <w:autoSpaceDE/>
        <w:autoSpaceDN/>
        <w:bidi w:val="0"/>
        <w:adjustRightInd/>
        <w:snapToGrid/>
        <w:spacing w:line="560" w:lineRule="exact"/>
        <w:jc w:val="both"/>
        <w:textAlignment w:val="auto"/>
        <w:rPr>
          <w:rFonts w:hint="eastAsia" w:ascii="方正仿宋_GB2312" w:hAnsi="方正仿宋_GB2312" w:eastAsia="方正仿宋_GB2312" w:cs="方正仿宋_GB2312"/>
          <w:sz w:val="30"/>
          <w:szCs w:val="30"/>
        </w:rPr>
      </w:pPr>
    </w:p>
    <w:p w14:paraId="4A061226">
      <w:pPr>
        <w:pageBreakBefore w:val="0"/>
        <w:widowControl w:val="0"/>
        <w:kinsoku/>
        <w:wordWrap/>
        <w:overflowPunct/>
        <w:topLinePunct w:val="0"/>
        <w:autoSpaceDE/>
        <w:autoSpaceDN/>
        <w:bidi w:val="0"/>
        <w:adjustRightInd/>
        <w:snapToGrid/>
        <w:spacing w:line="560" w:lineRule="exact"/>
        <w:jc w:val="both"/>
        <w:textAlignment w:val="auto"/>
        <w:rPr>
          <w:rFonts w:hint="eastAsia" w:ascii="方正仿宋_GB2312" w:hAnsi="方正仿宋_GB2312" w:eastAsia="方正仿宋_GB2312" w:cs="方正仿宋_GB2312"/>
          <w:sz w:val="30"/>
          <w:szCs w:val="30"/>
        </w:rPr>
      </w:pPr>
    </w:p>
    <w:p w14:paraId="21DF8E27">
      <w:pPr>
        <w:pageBreakBefore w:val="0"/>
        <w:widowControl w:val="0"/>
        <w:kinsoku/>
        <w:wordWrap/>
        <w:overflowPunct/>
        <w:topLinePunct w:val="0"/>
        <w:autoSpaceDE/>
        <w:autoSpaceDN/>
        <w:bidi w:val="0"/>
        <w:adjustRightInd/>
        <w:snapToGrid/>
        <w:spacing w:line="560" w:lineRule="exact"/>
        <w:ind w:firstLine="600" w:firstLineChars="200"/>
        <w:jc w:val="right"/>
        <w:textAlignment w:val="auto"/>
        <w:rPr>
          <w:rFonts w:hint="eastAsia" w:ascii="方正仿宋_GB2312" w:hAnsi="方正仿宋_GB2312" w:eastAsia="方正仿宋_GB2312" w:cs="方正仿宋_GB2312"/>
          <w:sz w:val="30"/>
          <w:szCs w:val="30"/>
        </w:rPr>
      </w:pPr>
    </w:p>
    <w:p w14:paraId="74DA0642">
      <w:pPr>
        <w:pageBreakBefore w:val="0"/>
        <w:widowControl w:val="0"/>
        <w:kinsoku/>
        <w:wordWrap/>
        <w:overflowPunct/>
        <w:topLinePunct w:val="0"/>
        <w:autoSpaceDE/>
        <w:autoSpaceDN/>
        <w:bidi w:val="0"/>
        <w:adjustRightInd/>
        <w:snapToGrid/>
        <w:spacing w:line="560" w:lineRule="exact"/>
        <w:ind w:firstLine="600" w:firstLineChars="200"/>
        <w:jc w:val="righ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乐山市心身医院</w:t>
      </w:r>
    </w:p>
    <w:p w14:paraId="73364347">
      <w:pPr>
        <w:pageBreakBefore w:val="0"/>
        <w:widowControl w:val="0"/>
        <w:kinsoku/>
        <w:wordWrap/>
        <w:overflowPunct/>
        <w:topLinePunct w:val="0"/>
        <w:autoSpaceDE/>
        <w:autoSpaceDN/>
        <w:bidi w:val="0"/>
        <w:adjustRightInd/>
        <w:snapToGrid/>
        <w:spacing w:line="560" w:lineRule="exact"/>
        <w:ind w:firstLine="600" w:firstLineChars="200"/>
        <w:jc w:val="righ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2025年12月</w:t>
      </w:r>
      <w:r>
        <w:rPr>
          <w:rFonts w:hint="eastAsia" w:ascii="方正仿宋_GB2312" w:hAnsi="方正仿宋_GB2312" w:eastAsia="方正仿宋_GB2312" w:cs="方正仿宋_GB2312"/>
          <w:sz w:val="30"/>
          <w:szCs w:val="30"/>
          <w:lang w:val="en-US" w:eastAsia="zh-CN"/>
        </w:rPr>
        <w:t>17</w:t>
      </w:r>
      <w:r>
        <w:rPr>
          <w:rFonts w:hint="eastAsia" w:ascii="方正仿宋_GB2312" w:hAnsi="方正仿宋_GB2312" w:eastAsia="方正仿宋_GB2312" w:cs="方正仿宋_GB2312"/>
          <w:sz w:val="30"/>
          <w:szCs w:val="30"/>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00000000000000000"/>
    <w:charset w:val="86"/>
    <w:family w:val="script"/>
    <w:pitch w:val="default"/>
    <w:sig w:usb0="00000000" w:usb1="0000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CBA78D"/>
    <w:multiLevelType w:val="singleLevel"/>
    <w:tmpl w:val="ADCBA78D"/>
    <w:lvl w:ilvl="0" w:tentative="0">
      <w:start w:val="5"/>
      <w:numFmt w:val="chineseCounting"/>
      <w:suff w:val="nothing"/>
      <w:lvlText w:val="（%1）"/>
      <w:lvlJc w:val="left"/>
      <w:rPr>
        <w:rFonts w:hint="eastAsia"/>
      </w:rPr>
    </w:lvl>
  </w:abstractNum>
  <w:abstractNum w:abstractNumId="1">
    <w:nsid w:val="2145274C"/>
    <w:multiLevelType w:val="singleLevel"/>
    <w:tmpl w:val="2145274C"/>
    <w:lvl w:ilvl="0" w:tentative="0">
      <w:start w:val="1"/>
      <w:numFmt w:val="decimal"/>
      <w:suff w:val="nothing"/>
      <w:lvlText w:val="%1."/>
      <w:lvlJc w:val="left"/>
      <w:pPr>
        <w:ind w:left="425" w:hanging="425"/>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7A5780"/>
    <w:rsid w:val="16B24525"/>
    <w:rsid w:val="1EEB139D"/>
    <w:rsid w:val="22E152C9"/>
    <w:rsid w:val="25BC72A3"/>
    <w:rsid w:val="28370D2C"/>
    <w:rsid w:val="291C7158"/>
    <w:rsid w:val="293F235C"/>
    <w:rsid w:val="298B7AB1"/>
    <w:rsid w:val="29DA08EE"/>
    <w:rsid w:val="2D1B68E3"/>
    <w:rsid w:val="3F0915DE"/>
    <w:rsid w:val="42792F25"/>
    <w:rsid w:val="45B81EDF"/>
    <w:rsid w:val="45C64140"/>
    <w:rsid w:val="4BB02118"/>
    <w:rsid w:val="637A5780"/>
    <w:rsid w:val="63D32A4F"/>
    <w:rsid w:val="738971F0"/>
    <w:rsid w:val="78D739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6">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4120</Words>
  <Characters>4246</Characters>
  <Lines>0</Lines>
  <Paragraphs>0</Paragraphs>
  <TotalTime>38</TotalTime>
  <ScaleCrop>false</ScaleCrop>
  <LinksUpToDate>false</LinksUpToDate>
  <CharactersWithSpaces>4246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2025-11-11T02:44:00Z</dcterms:created>
  <dc:creator>李胡莲</dc:creator>
  <cp:lastModifiedBy>Administrator</cp:lastModifiedBy>
  <dcterms:modified xsi:type="dcterms:W3CDTF">2026-06-18T03:47:39Z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6EF4566D73E847659947DFE9EBA318FB_13</vt:lpwstr>
  </property>
  <property fmtid="{D5CDD505-2E9C-101B-9397-08002B2CF9AE}" pid="4" name="KSOTemplateDocerSaveRecord">
    <vt:lpwstr>eyJoZGlkIjoiMWE0MWVlM2JmMmY2ODI2MDUxOTY0NjRjMDhmMTYwZjkiLCJ1c2VySWQiOiI4MTYyODk0NTcifQ==</vt:lpwstr>
  </property>
</Properties>
</file>